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894862" w:displacedByCustomXml="next"/>
    <w:sdt>
      <w:sdtPr>
        <w:id w:val="-1716108418"/>
        <w:docPartObj>
          <w:docPartGallery w:val="Cover Pages"/>
          <w:docPartUnique/>
        </w:docPartObj>
      </w:sdtPr>
      <w:sdtEndPr>
        <w:rPr>
          <w:rFonts w:ascii="Calibri" w:eastAsia="Times New Roman" w:hAnsi="Calibri" w:cs="Times New Roman"/>
          <w:b/>
          <w:bCs/>
          <w:kern w:val="32"/>
          <w:sz w:val="32"/>
          <w:szCs w:val="32"/>
          <w:lang w:val="x-none"/>
        </w:rPr>
      </w:sdtEndPr>
      <w:sdtContent>
        <w:p w:rsidR="00A00D69" w:rsidRDefault="00D03273">
          <w:pPr>
            <w:sectPr w:rsidR="00A00D69" w:rsidSect="00D03273">
              <w:headerReference w:type="default" r:id="rId9"/>
              <w:footerReference w:type="default" r:id="rId10"/>
              <w:pgSz w:w="11906" w:h="16838"/>
              <w:pgMar w:top="0" w:right="1440" w:bottom="0" w:left="1440" w:header="708" w:footer="708" w:gutter="0"/>
              <w:pgNumType w:start="0"/>
              <w:cols w:space="708"/>
              <w:titlePg/>
              <w:docGrid w:linePitch="360"/>
            </w:sectPr>
          </w:pPr>
          <w:r>
            <w:rPr>
              <w:noProof/>
              <w:lang w:eastAsia="en-GB"/>
            </w:rPr>
            <w:drawing>
              <wp:anchor distT="0" distB="0" distL="114300" distR="114300" simplePos="0" relativeHeight="251900928" behindDoc="0" locked="0" layoutInCell="1" allowOverlap="1" wp14:anchorId="45A3E5A7" wp14:editId="3BAE0E96">
                <wp:simplePos x="914400" y="914400"/>
                <wp:positionH relativeFrom="margin">
                  <wp:align>center</wp:align>
                </wp:positionH>
                <wp:positionV relativeFrom="margin">
                  <wp:posOffset>-26505</wp:posOffset>
                </wp:positionV>
                <wp:extent cx="7573645" cy="10715625"/>
                <wp:effectExtent l="0" t="0" r="8255" b="9525"/>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3645" cy="10715625"/>
                        </a:xfrm>
                        <a:prstGeom prst="rect">
                          <a:avLst/>
                        </a:prstGeom>
                        <a:noFill/>
                      </pic:spPr>
                    </pic:pic>
                  </a:graphicData>
                </a:graphic>
                <wp14:sizeRelH relativeFrom="margin">
                  <wp14:pctWidth>0</wp14:pctWidth>
                </wp14:sizeRelH>
                <wp14:sizeRelV relativeFrom="margin">
                  <wp14:pctHeight>0</wp14:pctHeight>
                </wp14:sizeRelV>
              </wp:anchor>
            </w:drawing>
          </w:r>
        </w:p>
        <w:p w:rsidR="00A00D69" w:rsidRDefault="00A00D69"/>
        <w:tbl>
          <w:tblPr>
            <w:tblW w:w="0" w:type="auto"/>
            <w:tblBorders>
              <w:top w:val="nil"/>
              <w:left w:val="nil"/>
              <w:bottom w:val="nil"/>
              <w:right w:val="nil"/>
            </w:tblBorders>
            <w:tblLayout w:type="fixed"/>
            <w:tblLook w:val="0000" w:firstRow="0" w:lastRow="0" w:firstColumn="0" w:lastColumn="0" w:noHBand="0" w:noVBand="0"/>
          </w:tblPr>
          <w:tblGrid>
            <w:gridCol w:w="5417"/>
          </w:tblGrid>
          <w:tr w:rsidR="00D03273" w:rsidRPr="00D03273">
            <w:trPr>
              <w:trHeight w:val="140"/>
            </w:trPr>
            <w:tc>
              <w:tcPr>
                <w:tcW w:w="5417" w:type="dxa"/>
              </w:tcPr>
              <w:p w:rsidR="00D03273" w:rsidRP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Planning Policy </w:t>
                </w:r>
              </w:p>
            </w:tc>
          </w:tr>
          <w:tr w:rsidR="00D03273" w:rsidRPr="00D03273">
            <w:trPr>
              <w:trHeight w:val="140"/>
            </w:trPr>
            <w:tc>
              <w:tcPr>
                <w:tcW w:w="5417" w:type="dxa"/>
              </w:tcPr>
              <w:p w:rsid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City Development </w:t>
                </w:r>
              </w:p>
              <w:p w:rsidR="00D03273" w:rsidRPr="00D03273" w:rsidRDefault="00D03273" w:rsidP="00D03273">
                <w:pPr>
                  <w:autoSpaceDE w:val="0"/>
                  <w:autoSpaceDN w:val="0"/>
                  <w:adjustRightInd w:val="0"/>
                  <w:rPr>
                    <w:rFonts w:ascii="Calibri" w:hAnsi="Calibri" w:cs="Calibri"/>
                    <w:color w:val="000000"/>
                    <w:sz w:val="22"/>
                    <w:szCs w:val="22"/>
                  </w:rPr>
                </w:pPr>
              </w:p>
            </w:tc>
          </w:tr>
          <w:tr w:rsidR="00D03273" w:rsidRPr="00D03273">
            <w:trPr>
              <w:trHeight w:val="140"/>
            </w:trPr>
            <w:tc>
              <w:tcPr>
                <w:tcW w:w="5417" w:type="dxa"/>
              </w:tcPr>
              <w:p w:rsidR="00D03273" w:rsidRP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Oxford City Council </w:t>
                </w:r>
              </w:p>
            </w:tc>
          </w:tr>
          <w:tr w:rsidR="00D03273" w:rsidRPr="00D03273">
            <w:trPr>
              <w:trHeight w:val="140"/>
            </w:trPr>
            <w:tc>
              <w:tcPr>
                <w:tcW w:w="5417" w:type="dxa"/>
              </w:tcPr>
              <w:p w:rsidR="00D03273" w:rsidRP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St </w:t>
                </w:r>
                <w:proofErr w:type="spellStart"/>
                <w:r w:rsidRPr="00D03273">
                  <w:rPr>
                    <w:rFonts w:ascii="Calibri" w:hAnsi="Calibri" w:cs="Calibri"/>
                    <w:color w:val="000000"/>
                    <w:sz w:val="22"/>
                    <w:szCs w:val="22"/>
                  </w:rPr>
                  <w:t>Aldate’s</w:t>
                </w:r>
                <w:proofErr w:type="spellEnd"/>
                <w:r w:rsidRPr="00D03273">
                  <w:rPr>
                    <w:rFonts w:ascii="Calibri" w:hAnsi="Calibri" w:cs="Calibri"/>
                    <w:color w:val="000000"/>
                    <w:sz w:val="22"/>
                    <w:szCs w:val="22"/>
                  </w:rPr>
                  <w:t xml:space="preserve"> Chambers </w:t>
                </w:r>
              </w:p>
            </w:tc>
          </w:tr>
          <w:tr w:rsidR="00D03273" w:rsidRPr="00D03273">
            <w:trPr>
              <w:trHeight w:val="140"/>
            </w:trPr>
            <w:tc>
              <w:tcPr>
                <w:tcW w:w="5417" w:type="dxa"/>
              </w:tcPr>
              <w:p w:rsidR="00D03273" w:rsidRP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109-113 St </w:t>
                </w:r>
                <w:proofErr w:type="spellStart"/>
                <w:r w:rsidRPr="00D03273">
                  <w:rPr>
                    <w:rFonts w:ascii="Calibri" w:hAnsi="Calibri" w:cs="Calibri"/>
                    <w:color w:val="000000"/>
                    <w:sz w:val="22"/>
                    <w:szCs w:val="22"/>
                  </w:rPr>
                  <w:t>Aldate’s</w:t>
                </w:r>
                <w:proofErr w:type="spellEnd"/>
                <w:r w:rsidRPr="00D03273">
                  <w:rPr>
                    <w:rFonts w:ascii="Calibri" w:hAnsi="Calibri" w:cs="Calibri"/>
                    <w:color w:val="000000"/>
                    <w:sz w:val="22"/>
                    <w:szCs w:val="22"/>
                  </w:rPr>
                  <w:t xml:space="preserve"> </w:t>
                </w:r>
              </w:p>
            </w:tc>
          </w:tr>
          <w:tr w:rsidR="00D03273" w:rsidRPr="00D03273">
            <w:trPr>
              <w:trHeight w:val="140"/>
            </w:trPr>
            <w:tc>
              <w:tcPr>
                <w:tcW w:w="5417" w:type="dxa"/>
              </w:tcPr>
              <w:p w:rsidR="00D03273" w:rsidRPr="00D03273" w:rsidRDefault="00D03273" w:rsidP="00D03273">
                <w:pPr>
                  <w:autoSpaceDE w:val="0"/>
                  <w:autoSpaceDN w:val="0"/>
                  <w:adjustRightInd w:val="0"/>
                  <w:rPr>
                    <w:rFonts w:ascii="Calibri" w:hAnsi="Calibri" w:cs="Calibri"/>
                    <w:color w:val="000000"/>
                    <w:sz w:val="22"/>
                    <w:szCs w:val="22"/>
                  </w:rPr>
                </w:pPr>
                <w:r w:rsidRPr="00D03273">
                  <w:rPr>
                    <w:rFonts w:ascii="Calibri" w:hAnsi="Calibri" w:cs="Calibri"/>
                    <w:color w:val="000000"/>
                    <w:sz w:val="22"/>
                    <w:szCs w:val="22"/>
                  </w:rPr>
                  <w:t xml:space="preserve">OXFORD </w:t>
                </w:r>
              </w:p>
            </w:tc>
          </w:tr>
          <w:tr w:rsidR="00D03273" w:rsidRPr="00D03273">
            <w:trPr>
              <w:trHeight w:val="140"/>
            </w:trPr>
            <w:tc>
              <w:tcPr>
                <w:tcW w:w="5417" w:type="dxa"/>
              </w:tcPr>
              <w:p w:rsidR="00D03273" w:rsidRPr="00D03273" w:rsidRDefault="00D03273" w:rsidP="00D03273">
                <w:pPr>
                  <w:autoSpaceDE w:val="0"/>
                  <w:autoSpaceDN w:val="0"/>
                  <w:adjustRightInd w:val="0"/>
                  <w:rPr>
                    <w:rFonts w:asciiTheme="minorHAnsi" w:hAnsiTheme="minorHAnsi" w:cstheme="minorHAnsi"/>
                    <w:color w:val="000000"/>
                    <w:sz w:val="22"/>
                    <w:szCs w:val="22"/>
                  </w:rPr>
                </w:pPr>
                <w:r w:rsidRPr="00D03273">
                  <w:rPr>
                    <w:rFonts w:asciiTheme="minorHAnsi" w:hAnsiTheme="minorHAnsi" w:cstheme="minorHAnsi"/>
                    <w:color w:val="000000"/>
                    <w:sz w:val="22"/>
                    <w:szCs w:val="22"/>
                  </w:rPr>
                  <w:t>OX1 1DS</w:t>
                </w:r>
              </w:p>
              <w:p w:rsidR="00D03273" w:rsidRPr="00D03273" w:rsidRDefault="00D03273" w:rsidP="00D03273">
                <w:pPr>
                  <w:autoSpaceDE w:val="0"/>
                  <w:autoSpaceDN w:val="0"/>
                  <w:adjustRightInd w:val="0"/>
                  <w:rPr>
                    <w:rFonts w:asciiTheme="minorHAnsi" w:hAnsiTheme="minorHAnsi" w:cstheme="minorHAnsi"/>
                    <w:color w:val="000000"/>
                    <w:sz w:val="22"/>
                    <w:szCs w:val="22"/>
                  </w:rPr>
                </w:pPr>
              </w:p>
            </w:tc>
          </w:tr>
        </w:tbl>
        <w:p w:rsidR="00D03273" w:rsidRPr="00D03273" w:rsidRDefault="00D03273" w:rsidP="00D03273">
          <w:pPr>
            <w:rPr>
              <w:rFonts w:asciiTheme="minorHAnsi" w:hAnsiTheme="minorHAnsi" w:cstheme="minorHAnsi"/>
              <w:sz w:val="22"/>
              <w:szCs w:val="22"/>
            </w:rPr>
          </w:pPr>
          <w:r w:rsidRPr="00D03273">
            <w:rPr>
              <w:rFonts w:asciiTheme="minorHAnsi" w:hAnsiTheme="minorHAnsi" w:cstheme="minorHAnsi"/>
              <w:sz w:val="22"/>
              <w:szCs w:val="22"/>
            </w:rPr>
            <w:t>Tel: 01865 252847</w:t>
          </w:r>
        </w:p>
        <w:p w:rsidR="00D03273" w:rsidRPr="00D03273" w:rsidRDefault="00D03273" w:rsidP="00D03273">
          <w:pPr>
            <w:rPr>
              <w:rFonts w:asciiTheme="minorHAnsi" w:hAnsiTheme="minorHAnsi" w:cstheme="minorHAnsi"/>
              <w:sz w:val="22"/>
              <w:szCs w:val="22"/>
            </w:rPr>
          </w:pPr>
          <w:r w:rsidRPr="00D03273">
            <w:rPr>
              <w:rFonts w:asciiTheme="minorHAnsi" w:hAnsiTheme="minorHAnsi" w:cstheme="minorHAnsi"/>
              <w:sz w:val="22"/>
              <w:szCs w:val="22"/>
            </w:rPr>
            <w:t>Fax: 01865 252144</w:t>
          </w:r>
        </w:p>
        <w:p w:rsidR="00D03273" w:rsidRPr="00D03273" w:rsidRDefault="00D03273" w:rsidP="00D03273">
          <w:pPr>
            <w:rPr>
              <w:rFonts w:asciiTheme="minorHAnsi" w:hAnsiTheme="minorHAnsi" w:cstheme="minorHAnsi"/>
              <w:sz w:val="22"/>
              <w:szCs w:val="22"/>
            </w:rPr>
          </w:pPr>
          <w:r w:rsidRPr="00D03273">
            <w:rPr>
              <w:rFonts w:asciiTheme="minorHAnsi" w:hAnsiTheme="minorHAnsi" w:cstheme="minorHAnsi"/>
              <w:sz w:val="22"/>
              <w:szCs w:val="22"/>
            </w:rPr>
            <w:t>Email: planningpolicy@oxford.gov.uk</w:t>
          </w:r>
        </w:p>
        <w:p w:rsidR="00D03273" w:rsidRPr="00D03273" w:rsidRDefault="00D03273" w:rsidP="00D03273">
          <w:pPr>
            <w:rPr>
              <w:rFonts w:asciiTheme="minorHAnsi" w:hAnsiTheme="minorHAnsi" w:cstheme="minorHAnsi"/>
              <w:sz w:val="22"/>
              <w:szCs w:val="22"/>
            </w:rPr>
          </w:pPr>
          <w:r w:rsidRPr="00D03273">
            <w:rPr>
              <w:rFonts w:asciiTheme="minorHAnsi" w:hAnsiTheme="minorHAnsi" w:cstheme="minorHAnsi"/>
              <w:sz w:val="22"/>
              <w:szCs w:val="22"/>
            </w:rPr>
            <w:t>Website: www.oxford.gov.uk/planningpolicy</w:t>
          </w:r>
        </w:p>
        <w:p w:rsidR="00D03273" w:rsidRDefault="00D03273" w:rsidP="00D03273">
          <w:pPr>
            <w:rPr>
              <w:rFonts w:asciiTheme="minorHAnsi" w:hAnsiTheme="minorHAnsi" w:cstheme="minorHAnsi"/>
              <w:sz w:val="22"/>
              <w:szCs w:val="22"/>
            </w:rPr>
          </w:pPr>
        </w:p>
        <w:p w:rsidR="00D03273" w:rsidRDefault="00D03273" w:rsidP="00D03273">
          <w:pPr>
            <w:rPr>
              <w:rFonts w:asciiTheme="minorHAnsi" w:hAnsiTheme="minorHAnsi" w:cstheme="minorHAnsi"/>
              <w:sz w:val="22"/>
              <w:szCs w:val="22"/>
            </w:rPr>
          </w:pPr>
        </w:p>
        <w:p w:rsidR="00A00D69" w:rsidRPr="00D03273" w:rsidRDefault="00D03273" w:rsidP="00D03273">
          <w:pPr>
            <w:rPr>
              <w:rFonts w:asciiTheme="minorHAnsi" w:hAnsiTheme="minorHAnsi" w:cstheme="minorHAnsi"/>
              <w:sz w:val="22"/>
              <w:szCs w:val="22"/>
            </w:rPr>
          </w:pPr>
          <w:r w:rsidRPr="00D03273">
            <w:rPr>
              <w:rFonts w:asciiTheme="minorHAnsi" w:hAnsiTheme="minorHAnsi" w:cstheme="minorHAnsi"/>
              <w:sz w:val="22"/>
              <w:szCs w:val="22"/>
            </w:rPr>
            <w:t>Published October 2014</w:t>
          </w:r>
        </w:p>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p w:rsidR="00D03273" w:rsidRDefault="00D03273" w:rsidP="00D03273">
          <w:r>
            <w:rPr>
              <w:noProof/>
              <w:lang w:eastAsia="en-GB"/>
            </w:rPr>
            <w:drawing>
              <wp:inline distT="0" distB="0" distL="0" distR="0">
                <wp:extent cx="1625600" cy="1358537"/>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1358537"/>
                        </a:xfrm>
                        <a:prstGeom prst="rect">
                          <a:avLst/>
                        </a:prstGeom>
                        <a:noFill/>
                        <a:ln>
                          <a:noFill/>
                        </a:ln>
                      </pic:spPr>
                    </pic:pic>
                  </a:graphicData>
                </a:graphic>
              </wp:inline>
            </w:drawing>
          </w:r>
        </w:p>
        <w:p w:rsidR="00D03273" w:rsidRDefault="00D03273" w:rsidP="00D03273"/>
        <w:p w:rsidR="00D03273" w:rsidRDefault="00D03273" w:rsidP="00D03273"/>
        <w:p w:rsidR="00D03273" w:rsidRDefault="00D03273" w:rsidP="00D03273">
          <w:pPr>
            <w:sectPr w:rsidR="00D03273" w:rsidSect="00D03273">
              <w:pgSz w:w="11906" w:h="16838"/>
              <w:pgMar w:top="1440" w:right="1440" w:bottom="1440" w:left="1440" w:header="709" w:footer="709" w:gutter="0"/>
              <w:pgNumType w:start="0"/>
              <w:cols w:space="708"/>
              <w:titlePg/>
              <w:docGrid w:linePitch="360"/>
            </w:sectPr>
          </w:pPr>
          <w:r>
            <w:rPr>
              <w:b/>
              <w:bCs/>
              <w:sz w:val="22"/>
              <w:szCs w:val="22"/>
            </w:rPr>
            <w:t>If you would like a copy of the document in larger print, Braille or audio tape, please contact the Planning Policy team.</w:t>
          </w:r>
        </w:p>
        <w:p w:rsidR="00A00D69" w:rsidRDefault="00A00D69" w:rsidP="00A00D69">
          <w:pPr>
            <w:rPr>
              <w:b/>
            </w:rPr>
          </w:pPr>
          <w:r>
            <w:rPr>
              <w:b/>
            </w:rPr>
            <w:lastRenderedPageBreak/>
            <w:t>Contents</w:t>
          </w:r>
        </w:p>
        <w:p w:rsidR="00A00D69" w:rsidRDefault="00A00D69" w:rsidP="00A00D69">
          <w:pPr>
            <w:tabs>
              <w:tab w:val="left" w:pos="1200"/>
            </w:tabs>
            <w:rPr>
              <w:b/>
            </w:rPr>
          </w:pPr>
          <w:r>
            <w:rPr>
              <w:b/>
            </w:rPr>
            <w:tab/>
          </w:r>
        </w:p>
        <w:p w:rsidR="00A00D69" w:rsidRPr="00302A29" w:rsidRDefault="00A00D69" w:rsidP="00A00D69">
          <w:pPr>
            <w:pStyle w:val="TOC1"/>
            <w:rPr>
              <w:rFonts w:eastAsia="Times New Roman"/>
              <w:lang w:eastAsia="en-GB"/>
            </w:rPr>
          </w:pPr>
          <w:r>
            <w:fldChar w:fldCharType="begin"/>
          </w:r>
          <w:r>
            <w:instrText xml:space="preserve"> TOC \o "1-3" \h \z \u </w:instrText>
          </w:r>
          <w:r>
            <w:fldChar w:fldCharType="separate"/>
          </w:r>
          <w:hyperlink w:anchor="_Toc365894862" w:history="1">
            <w:r w:rsidRPr="00E76798">
              <w:rPr>
                <w:rStyle w:val="Hyperlink"/>
              </w:rPr>
              <w:t>Introduction</w:t>
            </w:r>
            <w:r>
              <w:rPr>
                <w:webHidden/>
              </w:rPr>
              <w:tab/>
            </w:r>
            <w:r w:rsidR="0084711C">
              <w:rPr>
                <w:webHidden/>
              </w:rPr>
              <w:t>4</w:t>
            </w:r>
          </w:hyperlink>
        </w:p>
        <w:p w:rsidR="00A00D69" w:rsidRPr="00302A29" w:rsidRDefault="000A4132" w:rsidP="00A00D69">
          <w:pPr>
            <w:pStyle w:val="TOC1"/>
            <w:rPr>
              <w:rFonts w:eastAsia="Times New Roman"/>
              <w:lang w:eastAsia="en-GB"/>
            </w:rPr>
          </w:pPr>
          <w:hyperlink w:anchor="_Toc365894863" w:history="1">
            <w:r w:rsidR="00A00D69" w:rsidRPr="00E76798">
              <w:rPr>
                <w:rStyle w:val="Hyperlink"/>
              </w:rPr>
              <w:t>Oxford</w:t>
            </w:r>
            <w:r w:rsidR="00A00D69">
              <w:rPr>
                <w:rStyle w:val="Hyperlink"/>
              </w:rPr>
              <w:t xml:space="preserve"> Snapshot 2013/14</w:t>
            </w:r>
            <w:r w:rsidR="00A00D69">
              <w:rPr>
                <w:webHidden/>
              </w:rPr>
              <w:tab/>
            </w:r>
            <w:r w:rsidR="0084711C">
              <w:rPr>
                <w:webHidden/>
              </w:rPr>
              <w:t>5</w:t>
            </w:r>
          </w:hyperlink>
        </w:p>
        <w:p w:rsidR="00A00D69" w:rsidRPr="00302A29" w:rsidRDefault="000A4132" w:rsidP="00A00D69">
          <w:pPr>
            <w:pStyle w:val="TOC1"/>
            <w:rPr>
              <w:rFonts w:eastAsia="Times New Roman"/>
              <w:lang w:eastAsia="en-GB"/>
            </w:rPr>
          </w:pPr>
          <w:hyperlink w:anchor="_Toc365894864" w:history="1">
            <w:r w:rsidR="00A00D69" w:rsidRPr="00E76798">
              <w:rPr>
                <w:rStyle w:val="Hyperlink"/>
              </w:rPr>
              <w:t>Objective</w:t>
            </w:r>
            <w:r w:rsidR="00A00D69">
              <w:rPr>
                <w:rStyle w:val="Hyperlink"/>
              </w:rPr>
              <w:t>s</w:t>
            </w:r>
            <w:r w:rsidR="00A00D69">
              <w:rPr>
                <w:webHidden/>
              </w:rPr>
              <w:tab/>
            </w:r>
            <w:r w:rsidR="0084711C">
              <w:rPr>
                <w:webHidden/>
              </w:rPr>
              <w:t>8</w:t>
            </w:r>
          </w:hyperlink>
        </w:p>
        <w:p w:rsidR="00A00D69" w:rsidRPr="00A00D69" w:rsidRDefault="00A00D69" w:rsidP="00A00D69">
          <w:pPr>
            <w:pStyle w:val="TOC1"/>
            <w:rPr>
              <w:rStyle w:val="Hyperlink"/>
              <w:color w:val="auto"/>
              <w:u w:val="none"/>
            </w:rPr>
          </w:pPr>
          <w:r w:rsidRPr="00A00D69">
            <w:rPr>
              <w:rStyle w:val="Hyperlink"/>
              <w:color w:val="auto"/>
              <w:u w:val="none"/>
            </w:rPr>
            <w:t>The traffic light system</w:t>
          </w:r>
          <w:r w:rsidRPr="00A00D69">
            <w:rPr>
              <w:rStyle w:val="Hyperlink"/>
              <w:color w:val="auto"/>
              <w:u w:val="none"/>
            </w:rPr>
            <w:tab/>
          </w:r>
          <w:r w:rsidR="0084711C">
            <w:rPr>
              <w:rStyle w:val="Hyperlink"/>
              <w:color w:val="auto"/>
              <w:u w:val="none"/>
            </w:rPr>
            <w:t>9</w:t>
          </w:r>
        </w:p>
        <w:p w:rsidR="00A00D69" w:rsidRPr="00302A29" w:rsidRDefault="000A4132" w:rsidP="00A00D69">
          <w:pPr>
            <w:pStyle w:val="TOC1"/>
            <w:rPr>
              <w:rFonts w:eastAsia="Times New Roman"/>
              <w:lang w:eastAsia="en-GB"/>
            </w:rPr>
          </w:pPr>
          <w:hyperlink w:anchor="_Toc365894865" w:history="1">
            <w:r w:rsidR="00A00D69" w:rsidRPr="00E76798">
              <w:rPr>
                <w:rStyle w:val="Hyperlink"/>
              </w:rPr>
              <w:t xml:space="preserve">Summary </w:t>
            </w:r>
            <w:r w:rsidR="00A00D69">
              <w:rPr>
                <w:rStyle w:val="Hyperlink"/>
              </w:rPr>
              <w:t>of</w:t>
            </w:r>
            <w:r w:rsidR="00A00D69" w:rsidRPr="00E76798">
              <w:rPr>
                <w:rStyle w:val="Hyperlink"/>
              </w:rPr>
              <w:t xml:space="preserve"> Findings</w:t>
            </w:r>
            <w:r w:rsidR="00A00D69">
              <w:rPr>
                <w:webHidden/>
              </w:rPr>
              <w:tab/>
            </w:r>
            <w:r w:rsidR="0084711C">
              <w:rPr>
                <w:webHidden/>
              </w:rPr>
              <w:t>10</w:t>
            </w:r>
          </w:hyperlink>
        </w:p>
        <w:p w:rsidR="00A00D69" w:rsidRPr="009B6DBE" w:rsidRDefault="00A00D69" w:rsidP="00A00D69">
          <w:pPr>
            <w:pStyle w:val="TOC1"/>
            <w:rPr>
              <w:rStyle w:val="Hyperlink"/>
              <w:b/>
              <w:color w:val="215868" w:themeColor="accent5" w:themeShade="80"/>
            </w:rPr>
          </w:pPr>
          <w:r w:rsidRPr="009B6DBE">
            <w:rPr>
              <w:rStyle w:val="Hyperlink"/>
              <w:b/>
              <w:color w:val="215868" w:themeColor="accent5" w:themeShade="80"/>
            </w:rPr>
            <w:t>Vibrant Sustainable Economy</w:t>
          </w:r>
        </w:p>
        <w:p w:rsidR="00A00D69" w:rsidRPr="00302A29" w:rsidRDefault="000A4132" w:rsidP="00A00D69">
          <w:pPr>
            <w:pStyle w:val="TOC1"/>
            <w:rPr>
              <w:rFonts w:eastAsia="Times New Roman"/>
              <w:lang w:eastAsia="en-GB"/>
            </w:rPr>
          </w:pPr>
          <w:hyperlink w:anchor="_Toc365894866" w:history="1">
            <w:r w:rsidR="00A00D69" w:rsidRPr="00E76798">
              <w:rPr>
                <w:rStyle w:val="Hyperlink"/>
              </w:rPr>
              <w:t>Indicator 1</w:t>
            </w:r>
            <w:r w:rsidR="00A00D69">
              <w:rPr>
                <w:rStyle w:val="Hyperlink"/>
              </w:rPr>
              <w:t>: Employment land supply</w:t>
            </w:r>
            <w:r w:rsidR="00A00D69">
              <w:rPr>
                <w:webHidden/>
              </w:rPr>
              <w:tab/>
            </w:r>
            <w:r w:rsidR="0084711C">
              <w:rPr>
                <w:webHidden/>
              </w:rPr>
              <w:t>11</w:t>
            </w:r>
          </w:hyperlink>
          <w:bookmarkStart w:id="1" w:name="_GoBack"/>
          <w:bookmarkEnd w:id="1"/>
        </w:p>
        <w:p w:rsidR="00A00D69" w:rsidRPr="00302A29" w:rsidRDefault="000A4132" w:rsidP="00A00D69">
          <w:pPr>
            <w:pStyle w:val="TOC1"/>
            <w:rPr>
              <w:rFonts w:eastAsia="Times New Roman"/>
              <w:lang w:eastAsia="en-GB"/>
            </w:rPr>
          </w:pPr>
          <w:hyperlink w:anchor="_Toc365894867" w:history="1">
            <w:r w:rsidR="00A00D69" w:rsidRPr="00E76798">
              <w:rPr>
                <w:rStyle w:val="Hyperlink"/>
              </w:rPr>
              <w:t>Indicator 2</w:t>
            </w:r>
            <w:r w:rsidR="00A00D69">
              <w:rPr>
                <w:rStyle w:val="Hyperlink"/>
              </w:rPr>
              <w:t>: Employment land lost to other uses</w:t>
            </w:r>
            <w:r w:rsidR="00A00D69">
              <w:rPr>
                <w:webHidden/>
              </w:rPr>
              <w:tab/>
            </w:r>
            <w:r w:rsidR="0084711C">
              <w:rPr>
                <w:webHidden/>
              </w:rPr>
              <w:t>11</w:t>
            </w:r>
          </w:hyperlink>
        </w:p>
        <w:p w:rsidR="00A00D69" w:rsidRPr="00302A29" w:rsidRDefault="000A4132" w:rsidP="00A00D69">
          <w:pPr>
            <w:pStyle w:val="TOC1"/>
            <w:rPr>
              <w:rFonts w:eastAsia="Times New Roman"/>
              <w:lang w:eastAsia="en-GB"/>
            </w:rPr>
          </w:pPr>
          <w:hyperlink w:anchor="_Toc365894868" w:history="1">
            <w:r w:rsidR="00A00D69" w:rsidRPr="00E76798">
              <w:rPr>
                <w:rStyle w:val="Hyperlink"/>
              </w:rPr>
              <w:t>Indicator 3</w:t>
            </w:r>
            <w:r w:rsidR="00A00D69">
              <w:rPr>
                <w:rStyle w:val="Hyperlink"/>
              </w:rPr>
              <w:t>: Employment development on previously developed land</w:t>
            </w:r>
            <w:r w:rsidR="00A00D69">
              <w:rPr>
                <w:webHidden/>
              </w:rPr>
              <w:tab/>
            </w:r>
            <w:r w:rsidR="0084711C">
              <w:rPr>
                <w:webHidden/>
              </w:rPr>
              <w:t>12</w:t>
            </w:r>
          </w:hyperlink>
        </w:p>
        <w:p w:rsidR="00A00D69" w:rsidRPr="00302A29" w:rsidRDefault="000A4132" w:rsidP="00A00D69">
          <w:pPr>
            <w:pStyle w:val="TOC1"/>
            <w:rPr>
              <w:rFonts w:eastAsia="Times New Roman"/>
              <w:lang w:eastAsia="en-GB"/>
            </w:rPr>
          </w:pPr>
          <w:hyperlink w:anchor="_Toc365894869" w:history="1">
            <w:r w:rsidR="00A00D69" w:rsidRPr="00E76798">
              <w:rPr>
                <w:rStyle w:val="Hyperlink"/>
              </w:rPr>
              <w:t>Indicator 4</w:t>
            </w:r>
            <w:r w:rsidR="00A00D69">
              <w:rPr>
                <w:rStyle w:val="Hyperlink"/>
              </w:rPr>
              <w:t>: Employment development on allocated sites</w:t>
            </w:r>
            <w:r w:rsidR="00A00D69">
              <w:rPr>
                <w:webHidden/>
              </w:rPr>
              <w:tab/>
            </w:r>
            <w:r w:rsidR="0084711C">
              <w:rPr>
                <w:webHidden/>
              </w:rPr>
              <w:t>12</w:t>
            </w:r>
          </w:hyperlink>
        </w:p>
        <w:p w:rsidR="00A00D69" w:rsidRPr="00302A29" w:rsidRDefault="000A4132" w:rsidP="00A00D69">
          <w:pPr>
            <w:pStyle w:val="TOC1"/>
            <w:rPr>
              <w:rFonts w:eastAsia="Times New Roman"/>
              <w:lang w:eastAsia="en-GB"/>
            </w:rPr>
          </w:pPr>
          <w:hyperlink w:anchor="_Toc365894870" w:history="1">
            <w:r w:rsidR="00A00D69" w:rsidRPr="00E76798">
              <w:rPr>
                <w:rStyle w:val="Hyperlink"/>
              </w:rPr>
              <w:t>Indicator 5</w:t>
            </w:r>
            <w:r w:rsidR="00A00D69">
              <w:rPr>
                <w:rStyle w:val="Hyperlink"/>
              </w:rPr>
              <w:t>: Planning permissions for new Class B1 uses</w:t>
            </w:r>
            <w:r w:rsidR="00A00D69">
              <w:rPr>
                <w:webHidden/>
              </w:rPr>
              <w:tab/>
            </w:r>
            <w:r w:rsidR="0084711C">
              <w:rPr>
                <w:webHidden/>
              </w:rPr>
              <w:t>13</w:t>
            </w:r>
          </w:hyperlink>
        </w:p>
        <w:p w:rsidR="00A00D69" w:rsidRPr="00302A29" w:rsidRDefault="000A4132" w:rsidP="00A00D69">
          <w:pPr>
            <w:pStyle w:val="TOC1"/>
            <w:rPr>
              <w:rFonts w:eastAsia="Times New Roman"/>
              <w:lang w:eastAsia="en-GB"/>
            </w:rPr>
          </w:pPr>
          <w:hyperlink w:anchor="_Toc365894871" w:history="1">
            <w:r w:rsidR="00A00D69" w:rsidRPr="00E76798">
              <w:rPr>
                <w:rStyle w:val="Hyperlink"/>
              </w:rPr>
              <w:t>Indicator 6</w:t>
            </w:r>
            <w:r w:rsidR="00A00D69">
              <w:rPr>
                <w:rStyle w:val="Hyperlink"/>
              </w:rPr>
              <w:t>: Land for key employment uses</w:t>
            </w:r>
            <w:r w:rsidR="00A00D69">
              <w:rPr>
                <w:webHidden/>
              </w:rPr>
              <w:tab/>
              <w:t>1</w:t>
            </w:r>
            <w:r w:rsidR="0084711C">
              <w:rPr>
                <w:webHidden/>
              </w:rPr>
              <w:t>4</w:t>
            </w:r>
          </w:hyperlink>
        </w:p>
        <w:p w:rsidR="00A00D69" w:rsidRPr="00302A29" w:rsidRDefault="000A4132" w:rsidP="00A00D69">
          <w:pPr>
            <w:pStyle w:val="TOC1"/>
            <w:rPr>
              <w:rFonts w:eastAsia="Times New Roman"/>
              <w:lang w:eastAsia="en-GB"/>
            </w:rPr>
          </w:pPr>
          <w:hyperlink w:anchor="_Toc365894872" w:history="1">
            <w:r w:rsidR="00A00D69" w:rsidRPr="00E76798">
              <w:rPr>
                <w:rStyle w:val="Hyperlink"/>
              </w:rPr>
              <w:t>Indicator 7</w:t>
            </w:r>
            <w:r w:rsidR="00A00D69">
              <w:rPr>
                <w:rStyle w:val="Hyperlink"/>
              </w:rPr>
              <w:t xml:space="preserve">: Location of new retail development </w:t>
            </w:r>
            <w:r w:rsidR="00A00D69">
              <w:rPr>
                <w:webHidden/>
              </w:rPr>
              <w:tab/>
              <w:t>1</w:t>
            </w:r>
            <w:r w:rsidR="0084711C">
              <w:rPr>
                <w:webHidden/>
              </w:rPr>
              <w:t>5</w:t>
            </w:r>
          </w:hyperlink>
        </w:p>
        <w:p w:rsidR="00A00D69" w:rsidRPr="00302A29" w:rsidRDefault="000A4132" w:rsidP="00A00D69">
          <w:pPr>
            <w:pStyle w:val="TOC1"/>
            <w:rPr>
              <w:rFonts w:eastAsia="Times New Roman"/>
              <w:lang w:eastAsia="en-GB"/>
            </w:rPr>
          </w:pPr>
          <w:hyperlink w:anchor="_Toc365894873" w:history="1">
            <w:r w:rsidR="00A00D69" w:rsidRPr="00E76798">
              <w:rPr>
                <w:rStyle w:val="Hyperlink"/>
              </w:rPr>
              <w:t>Indicator 8</w:t>
            </w:r>
            <w:r w:rsidR="00A00D69">
              <w:rPr>
                <w:rStyle w:val="Hyperlink"/>
              </w:rPr>
              <w:t xml:space="preserve">: Market and vitality indicators </w:t>
            </w:r>
            <w:r w:rsidR="00A00D69">
              <w:rPr>
                <w:webHidden/>
              </w:rPr>
              <w:tab/>
              <w:t>1</w:t>
            </w:r>
            <w:r w:rsidR="0084711C">
              <w:rPr>
                <w:webHidden/>
              </w:rPr>
              <w:t>6</w:t>
            </w:r>
          </w:hyperlink>
        </w:p>
        <w:p w:rsidR="00A00D69" w:rsidRPr="00302A29" w:rsidRDefault="000A4132" w:rsidP="00A00D69">
          <w:pPr>
            <w:pStyle w:val="TOC1"/>
            <w:rPr>
              <w:rFonts w:eastAsia="Times New Roman"/>
              <w:lang w:eastAsia="en-GB"/>
            </w:rPr>
          </w:pPr>
          <w:hyperlink w:anchor="_Toc365894874" w:history="1">
            <w:r w:rsidR="00A00D69" w:rsidRPr="00E76798">
              <w:rPr>
                <w:rStyle w:val="Hyperlink"/>
              </w:rPr>
              <w:t>Indicator</w:t>
            </w:r>
            <w:r w:rsidR="00A00D69">
              <w:rPr>
                <w:rStyle w:val="Hyperlink"/>
              </w:rPr>
              <w:t xml:space="preserve"> 9:</w:t>
            </w:r>
            <w:r w:rsidR="00A00D69" w:rsidRPr="00E76798">
              <w:rPr>
                <w:rStyle w:val="Hyperlink"/>
              </w:rPr>
              <w:t xml:space="preserve"> </w:t>
            </w:r>
            <w:r w:rsidR="00A00D69">
              <w:rPr>
                <w:rStyle w:val="Hyperlink"/>
              </w:rPr>
              <w:t xml:space="preserve">Supply of short-stay accommodation </w:t>
            </w:r>
            <w:r w:rsidR="00A00D69">
              <w:rPr>
                <w:webHidden/>
              </w:rPr>
              <w:tab/>
              <w:t>1</w:t>
            </w:r>
            <w:r w:rsidR="0084711C">
              <w:rPr>
                <w:webHidden/>
              </w:rPr>
              <w:t>7</w:t>
            </w:r>
          </w:hyperlink>
        </w:p>
        <w:p w:rsidR="00A00D69" w:rsidRPr="00302A29" w:rsidRDefault="000A4132" w:rsidP="00A00D69">
          <w:pPr>
            <w:pStyle w:val="TOC1"/>
            <w:rPr>
              <w:rFonts w:eastAsia="Times New Roman"/>
              <w:lang w:eastAsia="en-GB"/>
            </w:rPr>
          </w:pPr>
          <w:hyperlink w:anchor="_Toc365894875" w:history="1">
            <w:r w:rsidR="00A00D69">
              <w:rPr>
                <w:rStyle w:val="Hyperlink"/>
              </w:rPr>
              <w:t>Summary</w:t>
            </w:r>
            <w:r w:rsidR="00A00D69" w:rsidRPr="00E76798">
              <w:rPr>
                <w:rStyle w:val="Hyperlink"/>
              </w:rPr>
              <w:t>: Vibrant Sustainable Economy</w:t>
            </w:r>
            <w:r w:rsidR="00A00D69">
              <w:rPr>
                <w:webHidden/>
              </w:rPr>
              <w:tab/>
              <w:t>1</w:t>
            </w:r>
            <w:r w:rsidR="0084711C">
              <w:rPr>
                <w:webHidden/>
              </w:rPr>
              <w:t>8</w:t>
            </w:r>
          </w:hyperlink>
        </w:p>
        <w:p w:rsidR="00A00D69" w:rsidRPr="009B6DBE" w:rsidRDefault="00A00D69" w:rsidP="00A00D69">
          <w:pPr>
            <w:pStyle w:val="TOC1"/>
            <w:rPr>
              <w:rStyle w:val="Hyperlink"/>
              <w:b/>
              <w:color w:val="984806" w:themeColor="accent6" w:themeShade="80"/>
            </w:rPr>
          </w:pPr>
          <w:r w:rsidRPr="009B6DBE">
            <w:rPr>
              <w:rStyle w:val="Hyperlink"/>
              <w:b/>
              <w:color w:val="984806" w:themeColor="accent6" w:themeShade="80"/>
            </w:rPr>
            <w:t>Meeting Housing Needs</w:t>
          </w:r>
        </w:p>
        <w:p w:rsidR="00A00D69" w:rsidRPr="00302A29" w:rsidRDefault="000A4132" w:rsidP="00A00D69">
          <w:pPr>
            <w:pStyle w:val="TOC1"/>
            <w:rPr>
              <w:rFonts w:eastAsia="Times New Roman"/>
              <w:lang w:eastAsia="en-GB"/>
            </w:rPr>
          </w:pPr>
          <w:hyperlink w:anchor="_Toc365894876" w:history="1">
            <w:r w:rsidR="00A00D69" w:rsidRPr="00E76798">
              <w:rPr>
                <w:rStyle w:val="Hyperlink"/>
              </w:rPr>
              <w:t>Indicator 10</w:t>
            </w:r>
            <w:r w:rsidR="00A00D69">
              <w:rPr>
                <w:rStyle w:val="Hyperlink"/>
              </w:rPr>
              <w:t>: Housing trajectory</w:t>
            </w:r>
            <w:r w:rsidR="00A00D69">
              <w:rPr>
                <w:webHidden/>
              </w:rPr>
              <w:tab/>
              <w:t>1</w:t>
            </w:r>
            <w:r w:rsidR="0084711C">
              <w:rPr>
                <w:webHidden/>
              </w:rPr>
              <w:t>9</w:t>
            </w:r>
          </w:hyperlink>
        </w:p>
        <w:p w:rsidR="00A00D69" w:rsidRPr="00302A29" w:rsidRDefault="000A4132" w:rsidP="00A00D69">
          <w:pPr>
            <w:pStyle w:val="TOC1"/>
            <w:rPr>
              <w:rFonts w:eastAsia="Times New Roman"/>
              <w:lang w:eastAsia="en-GB"/>
            </w:rPr>
          </w:pPr>
          <w:hyperlink w:anchor="_Toc365894877" w:history="1">
            <w:r w:rsidR="00A00D69" w:rsidRPr="00E76798">
              <w:rPr>
                <w:rStyle w:val="Hyperlink"/>
              </w:rPr>
              <w:t>Indicator 11</w:t>
            </w:r>
            <w:r w:rsidR="00A00D69">
              <w:rPr>
                <w:rStyle w:val="Hyperlink"/>
              </w:rPr>
              <w:t>: Percentage of all new dwelling completions (gross) on previously developed land</w:t>
            </w:r>
            <w:r w:rsidR="00A00D69">
              <w:rPr>
                <w:webHidden/>
              </w:rPr>
              <w:tab/>
              <w:t xml:space="preserve"> </w:t>
            </w:r>
            <w:r w:rsidR="0084711C">
              <w:rPr>
                <w:webHidden/>
              </w:rPr>
              <w:t>21</w:t>
            </w:r>
          </w:hyperlink>
        </w:p>
        <w:p w:rsidR="00A00D69" w:rsidRPr="00302A29" w:rsidRDefault="000A4132" w:rsidP="00A00D69">
          <w:pPr>
            <w:pStyle w:val="TOC1"/>
            <w:rPr>
              <w:rFonts w:eastAsia="Times New Roman"/>
              <w:lang w:eastAsia="en-GB"/>
            </w:rPr>
          </w:pPr>
          <w:hyperlink w:anchor="_Toc365894878" w:history="1">
            <w:r w:rsidR="00A00D69" w:rsidRPr="00E76798">
              <w:rPr>
                <w:rStyle w:val="Hyperlink"/>
              </w:rPr>
              <w:t>Indicator 12</w:t>
            </w:r>
            <w:r w:rsidR="00A00D69">
              <w:rPr>
                <w:rStyle w:val="Hyperlink"/>
              </w:rPr>
              <w:t>: Mix of housing completed by size</w:t>
            </w:r>
            <w:r w:rsidR="00A00D69">
              <w:rPr>
                <w:webHidden/>
              </w:rPr>
              <w:tab/>
            </w:r>
            <w:r w:rsidR="0084711C">
              <w:rPr>
                <w:webHidden/>
              </w:rPr>
              <w:t>22</w:t>
            </w:r>
          </w:hyperlink>
        </w:p>
        <w:p w:rsidR="00A00D69" w:rsidRPr="00302A29" w:rsidRDefault="000A4132" w:rsidP="00A00D69">
          <w:pPr>
            <w:pStyle w:val="TOC1"/>
            <w:rPr>
              <w:rFonts w:eastAsia="Times New Roman"/>
              <w:lang w:eastAsia="en-GB"/>
            </w:rPr>
          </w:pPr>
          <w:hyperlink w:anchor="_Toc365894879" w:history="1">
            <w:r w:rsidR="00A00D69" w:rsidRPr="00E76798">
              <w:rPr>
                <w:rStyle w:val="Hyperlink"/>
              </w:rPr>
              <w:t>Indicator 13</w:t>
            </w:r>
            <w:r w:rsidR="00A00D69">
              <w:rPr>
                <w:rStyle w:val="Hyperlink"/>
              </w:rPr>
              <w:t>: Density of development</w:t>
            </w:r>
            <w:r w:rsidR="00A00D69">
              <w:rPr>
                <w:webHidden/>
              </w:rPr>
              <w:tab/>
            </w:r>
            <w:r w:rsidR="0084711C">
              <w:rPr>
                <w:webHidden/>
              </w:rPr>
              <w:t>24</w:t>
            </w:r>
          </w:hyperlink>
        </w:p>
        <w:p w:rsidR="00A00D69" w:rsidRPr="00302A29" w:rsidRDefault="000A4132" w:rsidP="00A00D69">
          <w:pPr>
            <w:pStyle w:val="TOC1"/>
            <w:rPr>
              <w:rFonts w:eastAsia="Times New Roman"/>
              <w:lang w:eastAsia="en-GB"/>
            </w:rPr>
          </w:pPr>
          <w:hyperlink w:anchor="_Toc365894880" w:history="1">
            <w:r w:rsidR="00A00D69" w:rsidRPr="00E76798">
              <w:rPr>
                <w:rStyle w:val="Hyperlink"/>
              </w:rPr>
              <w:t>Indicator 14</w:t>
            </w:r>
            <w:r w:rsidR="00A00D69">
              <w:rPr>
                <w:rStyle w:val="Hyperlink"/>
              </w:rPr>
              <w:t>: Affordable housing completions (gross) and tenure</w:t>
            </w:r>
            <w:r w:rsidR="00A00D69">
              <w:rPr>
                <w:webHidden/>
              </w:rPr>
              <w:tab/>
              <w:t>2</w:t>
            </w:r>
            <w:r w:rsidR="0084711C">
              <w:rPr>
                <w:webHidden/>
              </w:rPr>
              <w:t>5</w:t>
            </w:r>
          </w:hyperlink>
        </w:p>
        <w:p w:rsidR="00A00D69" w:rsidRPr="00302A29" w:rsidRDefault="000A4132" w:rsidP="00A00D69">
          <w:pPr>
            <w:pStyle w:val="TOC1"/>
            <w:rPr>
              <w:rFonts w:eastAsia="Times New Roman"/>
              <w:lang w:eastAsia="en-GB"/>
            </w:rPr>
          </w:pPr>
          <w:hyperlink w:anchor="_Toc365894881" w:history="1">
            <w:r w:rsidR="00A00D69" w:rsidRPr="00E76798">
              <w:rPr>
                <w:rStyle w:val="Hyperlink"/>
              </w:rPr>
              <w:t>Indicator 15</w:t>
            </w:r>
            <w:r w:rsidR="00A00D69">
              <w:rPr>
                <w:rStyle w:val="Hyperlink"/>
              </w:rPr>
              <w:t>: Proportion of affordable housing where there is a policy requirement</w:t>
            </w:r>
            <w:r w:rsidR="00A00D69">
              <w:rPr>
                <w:webHidden/>
              </w:rPr>
              <w:tab/>
              <w:t>2</w:t>
            </w:r>
            <w:r w:rsidR="0084711C">
              <w:rPr>
                <w:webHidden/>
              </w:rPr>
              <w:t>6</w:t>
            </w:r>
          </w:hyperlink>
        </w:p>
        <w:p w:rsidR="00A00D69" w:rsidRPr="00302A29" w:rsidRDefault="000A4132" w:rsidP="00A00D69">
          <w:pPr>
            <w:pStyle w:val="TOC1"/>
            <w:rPr>
              <w:rFonts w:eastAsia="Times New Roman"/>
              <w:lang w:eastAsia="en-GB"/>
            </w:rPr>
          </w:pPr>
          <w:hyperlink w:anchor="_Toc365894882" w:history="1">
            <w:r w:rsidR="00A00D69" w:rsidRPr="00E76798">
              <w:rPr>
                <w:rStyle w:val="Hyperlink"/>
              </w:rPr>
              <w:t>Indicator 16</w:t>
            </w:r>
            <w:r w:rsidR="00A00D69">
              <w:rPr>
                <w:rStyle w:val="Hyperlink"/>
              </w:rPr>
              <w:t>: Students and purpose-built student accommodation</w:t>
            </w:r>
            <w:r w:rsidR="00A00D69">
              <w:rPr>
                <w:webHidden/>
              </w:rPr>
              <w:tab/>
              <w:t>2</w:t>
            </w:r>
            <w:r w:rsidR="0084711C">
              <w:rPr>
                <w:webHidden/>
              </w:rPr>
              <w:t>7</w:t>
            </w:r>
          </w:hyperlink>
        </w:p>
        <w:p w:rsidR="00A00D69" w:rsidRDefault="000A4132" w:rsidP="00A00D69">
          <w:pPr>
            <w:pStyle w:val="TOC1"/>
            <w:rPr>
              <w:rStyle w:val="Hyperlink"/>
            </w:rPr>
          </w:pPr>
          <w:hyperlink w:anchor="_Toc365894883" w:history="1">
            <w:r w:rsidR="00A00D69">
              <w:rPr>
                <w:rStyle w:val="Hyperlink"/>
              </w:rPr>
              <w:t>Summary</w:t>
            </w:r>
            <w:r w:rsidR="00A00D69" w:rsidRPr="00E76798">
              <w:rPr>
                <w:rStyle w:val="Hyperlink"/>
              </w:rPr>
              <w:t>: Meeting Housing Needs</w:t>
            </w:r>
            <w:r w:rsidR="00A00D69">
              <w:rPr>
                <w:webHidden/>
              </w:rPr>
              <w:tab/>
            </w:r>
            <w:r w:rsidR="0084711C">
              <w:rPr>
                <w:webHidden/>
              </w:rPr>
              <w:t>30</w:t>
            </w:r>
          </w:hyperlink>
        </w:p>
        <w:p w:rsidR="00A00D69" w:rsidRDefault="00A00D69" w:rsidP="00A00D69">
          <w:pPr>
            <w:pStyle w:val="TOC1"/>
            <w:rPr>
              <w:rStyle w:val="Hyperlink"/>
              <w:b/>
            </w:rPr>
          </w:pPr>
        </w:p>
        <w:p w:rsidR="00A00D69" w:rsidRPr="00F97452" w:rsidRDefault="00A00D69" w:rsidP="00A00D69">
          <w:pPr>
            <w:pStyle w:val="TOC1"/>
            <w:rPr>
              <w:rStyle w:val="Hyperlink"/>
              <w:b/>
              <w:color w:val="632423" w:themeColor="accent2" w:themeShade="80"/>
            </w:rPr>
          </w:pPr>
          <w:r w:rsidRPr="00F97452">
            <w:rPr>
              <w:rStyle w:val="Hyperlink"/>
              <w:b/>
              <w:color w:val="632423" w:themeColor="accent2" w:themeShade="80"/>
            </w:rPr>
            <w:lastRenderedPageBreak/>
            <w:t>Strong Active Communities</w:t>
          </w:r>
        </w:p>
        <w:p w:rsidR="00A00D69" w:rsidRPr="00302A29" w:rsidRDefault="000A4132" w:rsidP="00A00D69">
          <w:pPr>
            <w:pStyle w:val="TOC1"/>
            <w:rPr>
              <w:rFonts w:eastAsia="Times New Roman"/>
              <w:lang w:eastAsia="en-GB"/>
            </w:rPr>
          </w:pPr>
          <w:hyperlink w:anchor="_Toc365894885" w:history="1">
            <w:r w:rsidR="00A00D69">
              <w:rPr>
                <w:rStyle w:val="Hyperlink"/>
              </w:rPr>
              <w:t>Indicator 17: Progress against site-specific regeneration measures</w:t>
            </w:r>
            <w:r w:rsidR="00A00D69">
              <w:rPr>
                <w:webHidden/>
              </w:rPr>
              <w:tab/>
            </w:r>
            <w:r w:rsidR="0084711C">
              <w:rPr>
                <w:webHidden/>
              </w:rPr>
              <w:t>31</w:t>
            </w:r>
          </w:hyperlink>
        </w:p>
        <w:p w:rsidR="00A00D69" w:rsidRPr="00302A29" w:rsidRDefault="000A4132" w:rsidP="00A00D69">
          <w:pPr>
            <w:pStyle w:val="TOC1"/>
            <w:rPr>
              <w:rFonts w:eastAsia="Times New Roman"/>
              <w:lang w:eastAsia="en-GB"/>
            </w:rPr>
          </w:pPr>
          <w:hyperlink w:anchor="_Toc365894887" w:history="1">
            <w:r w:rsidR="00A00D69">
              <w:rPr>
                <w:rStyle w:val="Hyperlink"/>
              </w:rPr>
              <w:t>Indicator 18: Permissions contrary to Thames Valley Police advice</w:t>
            </w:r>
            <w:r w:rsidR="00A00D69">
              <w:rPr>
                <w:webHidden/>
              </w:rPr>
              <w:tab/>
            </w:r>
            <w:r w:rsidR="0084711C">
              <w:rPr>
                <w:webHidden/>
              </w:rPr>
              <w:t>32</w:t>
            </w:r>
          </w:hyperlink>
        </w:p>
        <w:p w:rsidR="00A00D69" w:rsidRPr="00302A29" w:rsidRDefault="000A4132" w:rsidP="00A00D69">
          <w:pPr>
            <w:pStyle w:val="TOC1"/>
            <w:rPr>
              <w:rFonts w:eastAsia="Times New Roman"/>
              <w:lang w:eastAsia="en-GB"/>
            </w:rPr>
          </w:pPr>
          <w:hyperlink w:anchor="_Toc365894888" w:history="1">
            <w:r w:rsidR="00A00D69">
              <w:rPr>
                <w:rStyle w:val="Hyperlink"/>
              </w:rPr>
              <w:t>Indicator 19: Neighbourhood planning</w:t>
            </w:r>
            <w:r w:rsidR="00A00D69">
              <w:rPr>
                <w:webHidden/>
              </w:rPr>
              <w:tab/>
            </w:r>
            <w:r w:rsidR="0084711C">
              <w:rPr>
                <w:webHidden/>
              </w:rPr>
              <w:t>32</w:t>
            </w:r>
          </w:hyperlink>
        </w:p>
        <w:p w:rsidR="00A00D69" w:rsidRPr="00302A29" w:rsidRDefault="000A4132" w:rsidP="00A00D69">
          <w:pPr>
            <w:pStyle w:val="TOC1"/>
            <w:rPr>
              <w:rFonts w:eastAsia="Times New Roman"/>
              <w:lang w:eastAsia="en-GB"/>
            </w:rPr>
          </w:pPr>
          <w:hyperlink w:anchor="_Toc365894889" w:history="1">
            <w:r w:rsidR="00A00D69">
              <w:rPr>
                <w:rStyle w:val="Hyperlink"/>
              </w:rPr>
              <w:t xml:space="preserve">Indicator 20: West End Area Action Plan </w:t>
            </w:r>
            <w:r w:rsidR="00A00D69">
              <w:rPr>
                <w:webHidden/>
              </w:rPr>
              <w:tab/>
              <w:t>3</w:t>
            </w:r>
            <w:r w:rsidR="0084711C">
              <w:rPr>
                <w:webHidden/>
              </w:rPr>
              <w:t>3</w:t>
            </w:r>
          </w:hyperlink>
        </w:p>
        <w:p w:rsidR="00A00D69" w:rsidRPr="00302A29" w:rsidRDefault="000A4132" w:rsidP="00A00D69">
          <w:pPr>
            <w:pStyle w:val="TOC1"/>
            <w:rPr>
              <w:rFonts w:eastAsia="Times New Roman"/>
              <w:lang w:eastAsia="en-GB"/>
            </w:rPr>
          </w:pPr>
          <w:hyperlink w:anchor="_Toc365894890" w:history="1">
            <w:r w:rsidR="00A00D69">
              <w:rPr>
                <w:rStyle w:val="Hyperlink"/>
              </w:rPr>
              <w:t xml:space="preserve">Indicator 21: Barton Area Action Plan </w:t>
            </w:r>
            <w:r w:rsidR="00A00D69">
              <w:rPr>
                <w:webHidden/>
              </w:rPr>
              <w:tab/>
              <w:t>3</w:t>
            </w:r>
            <w:r w:rsidR="0084711C">
              <w:rPr>
                <w:webHidden/>
              </w:rPr>
              <w:t>4</w:t>
            </w:r>
          </w:hyperlink>
        </w:p>
        <w:p w:rsidR="00A00D69" w:rsidRPr="00302A29" w:rsidRDefault="00A00D69" w:rsidP="00A00D69">
          <w:pPr>
            <w:pStyle w:val="TOC1"/>
            <w:rPr>
              <w:rFonts w:eastAsia="Times New Roman"/>
              <w:lang w:eastAsia="en-GB"/>
            </w:rPr>
          </w:pPr>
          <w:r>
            <w:t xml:space="preserve">Summary: </w:t>
          </w:r>
          <w:hyperlink w:anchor="_Toc365894891" w:history="1">
            <w:r>
              <w:rPr>
                <w:rStyle w:val="Hyperlink"/>
              </w:rPr>
              <w:t xml:space="preserve">Strong Active Communities </w:t>
            </w:r>
            <w:r>
              <w:rPr>
                <w:webHidden/>
              </w:rPr>
              <w:tab/>
              <w:t>3</w:t>
            </w:r>
            <w:r w:rsidR="0084711C">
              <w:rPr>
                <w:webHidden/>
              </w:rPr>
              <w:t>5</w:t>
            </w:r>
          </w:hyperlink>
        </w:p>
        <w:p w:rsidR="00A00D69" w:rsidRPr="00F97452" w:rsidRDefault="00A00D69" w:rsidP="00A00D69">
          <w:pPr>
            <w:pStyle w:val="TOC1"/>
            <w:rPr>
              <w:rStyle w:val="Hyperlink"/>
              <w:b/>
              <w:color w:val="4F6228" w:themeColor="accent3" w:themeShade="80"/>
            </w:rPr>
          </w:pPr>
          <w:r w:rsidRPr="00F97452">
            <w:rPr>
              <w:rStyle w:val="Hyperlink"/>
              <w:b/>
              <w:color w:val="4F6228" w:themeColor="accent3" w:themeShade="80"/>
            </w:rPr>
            <w:t xml:space="preserve">Cleaner Greener Oxford </w:t>
          </w:r>
        </w:p>
        <w:p w:rsidR="00A00D69" w:rsidRPr="00302A29" w:rsidRDefault="000A4132" w:rsidP="00A00D69">
          <w:pPr>
            <w:pStyle w:val="TOC1"/>
            <w:rPr>
              <w:rFonts w:eastAsia="Times New Roman"/>
              <w:lang w:eastAsia="en-GB"/>
            </w:rPr>
          </w:pPr>
          <w:hyperlink w:anchor="_Toc365894892" w:history="1">
            <w:r w:rsidR="00A00D69">
              <w:rPr>
                <w:rStyle w:val="Hyperlink"/>
              </w:rPr>
              <w:t xml:space="preserve">Indicator 22: Changes in areas of biodiversity importance </w:t>
            </w:r>
            <w:r w:rsidR="00A00D69">
              <w:rPr>
                <w:webHidden/>
              </w:rPr>
              <w:tab/>
              <w:t>3</w:t>
            </w:r>
            <w:r w:rsidR="0084711C">
              <w:rPr>
                <w:webHidden/>
              </w:rPr>
              <w:t>6</w:t>
            </w:r>
          </w:hyperlink>
        </w:p>
        <w:p w:rsidR="00A00D69" w:rsidRPr="00302A29" w:rsidRDefault="000A4132" w:rsidP="00A00D69">
          <w:pPr>
            <w:pStyle w:val="TOC1"/>
            <w:rPr>
              <w:rFonts w:eastAsia="Times New Roman"/>
              <w:lang w:eastAsia="en-GB"/>
            </w:rPr>
          </w:pPr>
          <w:hyperlink w:anchor="_Toc365894893" w:history="1">
            <w:r w:rsidR="00A00D69">
              <w:rPr>
                <w:rStyle w:val="Hyperlink"/>
              </w:rPr>
              <w:t>Indicator 23: Permissions contrary to Environment Agency advice</w:t>
            </w:r>
            <w:r w:rsidR="00A00D69">
              <w:rPr>
                <w:webHidden/>
              </w:rPr>
              <w:tab/>
              <w:t>3</w:t>
            </w:r>
            <w:r w:rsidR="0084711C">
              <w:rPr>
                <w:webHidden/>
              </w:rPr>
              <w:t>6</w:t>
            </w:r>
          </w:hyperlink>
        </w:p>
        <w:p w:rsidR="00A00D69" w:rsidRPr="00302A29" w:rsidRDefault="000A4132" w:rsidP="00A00D69">
          <w:pPr>
            <w:pStyle w:val="TOC1"/>
            <w:rPr>
              <w:rFonts w:eastAsia="Times New Roman"/>
              <w:lang w:eastAsia="en-GB"/>
            </w:rPr>
          </w:pPr>
          <w:hyperlink w:anchor="_Toc365894894" w:history="1">
            <w:r w:rsidR="00A00D69">
              <w:rPr>
                <w:rStyle w:val="Hyperlink"/>
              </w:rPr>
              <w:t>Indicator 24: Development complying with the Natural Resources Impact Analysis SPD requirements</w:t>
            </w:r>
            <w:r w:rsidR="00A00D69">
              <w:rPr>
                <w:webHidden/>
              </w:rPr>
              <w:tab/>
              <w:t>3</w:t>
            </w:r>
            <w:r w:rsidR="0084711C">
              <w:rPr>
                <w:webHidden/>
              </w:rPr>
              <w:t>7</w:t>
            </w:r>
          </w:hyperlink>
        </w:p>
        <w:p w:rsidR="00A00D69" w:rsidRPr="00302A29" w:rsidRDefault="000A4132" w:rsidP="00A00D69">
          <w:pPr>
            <w:pStyle w:val="TOC1"/>
            <w:rPr>
              <w:rFonts w:eastAsia="Times New Roman"/>
              <w:lang w:eastAsia="en-GB"/>
            </w:rPr>
          </w:pPr>
          <w:hyperlink w:anchor="_Toc365894895" w:history="1">
            <w:r w:rsidR="00A00D69">
              <w:rPr>
                <w:rStyle w:val="Hyperlink"/>
              </w:rPr>
              <w:t>Indicator 25: Development in the Green Belt</w:t>
            </w:r>
            <w:r w:rsidR="00A00D69">
              <w:rPr>
                <w:webHidden/>
              </w:rPr>
              <w:tab/>
            </w:r>
            <w:r w:rsidR="0084711C">
              <w:rPr>
                <w:webHidden/>
              </w:rPr>
              <w:t>40</w:t>
            </w:r>
          </w:hyperlink>
        </w:p>
        <w:p w:rsidR="00A00D69" w:rsidRPr="00302A29" w:rsidRDefault="000A4132" w:rsidP="00A00D69">
          <w:pPr>
            <w:pStyle w:val="TOC1"/>
            <w:rPr>
              <w:rFonts w:eastAsia="Times New Roman"/>
              <w:lang w:eastAsia="en-GB"/>
            </w:rPr>
          </w:pPr>
          <w:hyperlink w:anchor="_Toc365894896" w:history="1">
            <w:r w:rsidR="00A00D69">
              <w:rPr>
                <w:rStyle w:val="Hyperlink"/>
              </w:rPr>
              <w:t>Indicator 26: Waste and recycling</w:t>
            </w:r>
            <w:r w:rsidR="00A00D69">
              <w:rPr>
                <w:webHidden/>
              </w:rPr>
              <w:tab/>
            </w:r>
            <w:r w:rsidR="0084711C">
              <w:rPr>
                <w:webHidden/>
              </w:rPr>
              <w:t>41</w:t>
            </w:r>
          </w:hyperlink>
        </w:p>
        <w:p w:rsidR="00A00D69" w:rsidRPr="00302A29" w:rsidRDefault="000A4132" w:rsidP="00A00D69">
          <w:pPr>
            <w:pStyle w:val="TOC1"/>
            <w:rPr>
              <w:rFonts w:eastAsia="Times New Roman"/>
              <w:lang w:eastAsia="en-GB"/>
            </w:rPr>
          </w:pPr>
          <w:hyperlink w:anchor="_Toc365894898" w:history="1">
            <w:r w:rsidR="00A00D69">
              <w:rPr>
                <w:rStyle w:val="Hyperlink"/>
              </w:rPr>
              <w:t xml:space="preserve">Indicator 27: Heritage assets at risk </w:t>
            </w:r>
            <w:r w:rsidR="00A00D69">
              <w:rPr>
                <w:webHidden/>
              </w:rPr>
              <w:tab/>
            </w:r>
            <w:r w:rsidR="0084711C">
              <w:rPr>
                <w:webHidden/>
              </w:rPr>
              <w:t>41</w:t>
            </w:r>
          </w:hyperlink>
        </w:p>
        <w:p w:rsidR="00A00D69" w:rsidRPr="00302A29" w:rsidRDefault="000A4132" w:rsidP="00A00D69">
          <w:pPr>
            <w:pStyle w:val="TOC1"/>
            <w:rPr>
              <w:rFonts w:eastAsia="Times New Roman"/>
              <w:lang w:eastAsia="en-GB"/>
            </w:rPr>
          </w:pPr>
          <w:hyperlink w:anchor="_Toc365894899" w:history="1">
            <w:r w:rsidR="00A00D69">
              <w:rPr>
                <w:rStyle w:val="Hyperlink"/>
              </w:rPr>
              <w:t>Indicator 28: Applications involving the demolition of a listed building</w:t>
            </w:r>
            <w:r w:rsidR="00A00D69">
              <w:rPr>
                <w:webHidden/>
              </w:rPr>
              <w:tab/>
            </w:r>
            <w:r w:rsidR="0084711C">
              <w:rPr>
                <w:webHidden/>
              </w:rPr>
              <w:t>42</w:t>
            </w:r>
          </w:hyperlink>
        </w:p>
        <w:p w:rsidR="00A00D69" w:rsidRPr="00302A29" w:rsidRDefault="000A4132" w:rsidP="00A00D69">
          <w:pPr>
            <w:pStyle w:val="TOC1"/>
            <w:rPr>
              <w:rFonts w:eastAsia="Times New Roman"/>
              <w:lang w:eastAsia="en-GB"/>
            </w:rPr>
          </w:pPr>
          <w:hyperlink w:anchor="_Toc365894900" w:history="1">
            <w:r w:rsidR="00A00D69">
              <w:rPr>
                <w:rStyle w:val="Hyperlink"/>
              </w:rPr>
              <w:t>Indicator 29: Applications involving the demolition of a building that contributes to the character and appearance of a conservation area</w:t>
            </w:r>
            <w:r w:rsidR="00A00D69">
              <w:rPr>
                <w:webHidden/>
              </w:rPr>
              <w:tab/>
              <w:t>4</w:t>
            </w:r>
            <w:r w:rsidR="0084711C">
              <w:rPr>
                <w:webHidden/>
              </w:rPr>
              <w:t>4</w:t>
            </w:r>
          </w:hyperlink>
        </w:p>
        <w:p w:rsidR="00A00D69" w:rsidRPr="00302A29" w:rsidRDefault="000A4132" w:rsidP="00A00D69">
          <w:pPr>
            <w:pStyle w:val="TOC1"/>
            <w:rPr>
              <w:rFonts w:eastAsia="Times New Roman"/>
              <w:lang w:eastAsia="en-GB"/>
            </w:rPr>
          </w:pPr>
          <w:hyperlink w:anchor="_Toc365894901" w:history="1">
            <w:r w:rsidR="00A00D69">
              <w:rPr>
                <w:rStyle w:val="Hyperlink"/>
              </w:rPr>
              <w:t>Indicator 30: Appeals allowed where conservation policies were cited as a reason for refusal</w:t>
            </w:r>
            <w:r w:rsidR="00A00D69">
              <w:rPr>
                <w:webHidden/>
              </w:rPr>
              <w:tab/>
              <w:t>4</w:t>
            </w:r>
            <w:r w:rsidR="0084711C">
              <w:rPr>
                <w:webHidden/>
              </w:rPr>
              <w:t>5</w:t>
            </w:r>
          </w:hyperlink>
        </w:p>
        <w:p w:rsidR="00A00D69" w:rsidRPr="00302A29" w:rsidRDefault="000A4132" w:rsidP="00A00D69">
          <w:pPr>
            <w:pStyle w:val="TOC1"/>
            <w:rPr>
              <w:rFonts w:eastAsia="Times New Roman"/>
              <w:lang w:eastAsia="en-GB"/>
            </w:rPr>
          </w:pPr>
          <w:hyperlink w:anchor="_Toc365894902" w:history="1">
            <w:r w:rsidR="00A00D69">
              <w:rPr>
                <w:rStyle w:val="Hyperlink"/>
              </w:rPr>
              <w:t>Indicator 31: Tree Preservation Orders</w:t>
            </w:r>
            <w:r w:rsidR="00A00D69">
              <w:rPr>
                <w:webHidden/>
              </w:rPr>
              <w:tab/>
              <w:t xml:space="preserve"> 4</w:t>
            </w:r>
            <w:r w:rsidR="0084711C">
              <w:rPr>
                <w:webHidden/>
              </w:rPr>
              <w:t>5</w:t>
            </w:r>
          </w:hyperlink>
        </w:p>
        <w:p w:rsidR="00A00D69" w:rsidRPr="00302A29" w:rsidRDefault="000A4132" w:rsidP="00A00D69">
          <w:pPr>
            <w:pStyle w:val="TOC1"/>
            <w:rPr>
              <w:rFonts w:eastAsia="Times New Roman"/>
              <w:lang w:eastAsia="en-GB"/>
            </w:rPr>
          </w:pPr>
          <w:hyperlink w:anchor="_Toc365894903" w:history="1">
            <w:r w:rsidR="00A00D69">
              <w:rPr>
                <w:rStyle w:val="Hyperlink"/>
              </w:rPr>
              <w:t>Indicator 32: Loss of public open space, outdoor sports and recreation facilities</w:t>
            </w:r>
            <w:r w:rsidR="00A00D69">
              <w:rPr>
                <w:webHidden/>
              </w:rPr>
              <w:tab/>
              <w:t>4</w:t>
            </w:r>
            <w:r w:rsidR="0084711C">
              <w:rPr>
                <w:webHidden/>
              </w:rPr>
              <w:t>6</w:t>
            </w:r>
          </w:hyperlink>
        </w:p>
        <w:p w:rsidR="00A00D69" w:rsidRPr="00EB435A" w:rsidRDefault="000A4132" w:rsidP="00A00D69">
          <w:pPr>
            <w:pStyle w:val="TOC1"/>
          </w:pPr>
          <w:hyperlink w:anchor="_Toc365894905" w:history="1">
            <w:r w:rsidR="00A00D69">
              <w:rPr>
                <w:rStyle w:val="Hyperlink"/>
              </w:rPr>
              <w:t>Indicator 33: Number of parks with Green Flag status</w:t>
            </w:r>
            <w:r w:rsidR="00A00D69">
              <w:rPr>
                <w:webHidden/>
              </w:rPr>
              <w:tab/>
              <w:t>4</w:t>
            </w:r>
            <w:r w:rsidR="0084711C">
              <w:rPr>
                <w:webHidden/>
              </w:rPr>
              <w:t>6</w:t>
            </w:r>
          </w:hyperlink>
        </w:p>
        <w:p w:rsidR="00A00D69" w:rsidRPr="00EB435A" w:rsidRDefault="000A4132" w:rsidP="00A00D69">
          <w:pPr>
            <w:pStyle w:val="TOC1"/>
            <w:rPr>
              <w:rFonts w:eastAsia="Times New Roman"/>
              <w:lang w:eastAsia="en-GB"/>
            </w:rPr>
          </w:pPr>
          <w:hyperlink w:anchor="_Toc365894906" w:history="1">
            <w:r w:rsidR="00A00D69">
              <w:rPr>
                <w:rStyle w:val="Hyperlink"/>
              </w:rPr>
              <w:t xml:space="preserve">Indicator 34: Traffic growth at inner and outer cordons </w:t>
            </w:r>
            <w:r w:rsidR="00A00D69">
              <w:rPr>
                <w:webHidden/>
              </w:rPr>
              <w:tab/>
              <w:t>4</w:t>
            </w:r>
            <w:r w:rsidR="0084711C">
              <w:rPr>
                <w:webHidden/>
              </w:rPr>
              <w:t>7</w:t>
            </w:r>
          </w:hyperlink>
        </w:p>
        <w:p w:rsidR="00A00D69" w:rsidRPr="00302A29" w:rsidRDefault="000A4132" w:rsidP="00A00D69">
          <w:pPr>
            <w:pStyle w:val="TOC1"/>
            <w:rPr>
              <w:rFonts w:eastAsia="Times New Roman"/>
              <w:lang w:eastAsia="en-GB"/>
            </w:rPr>
          </w:pPr>
          <w:hyperlink w:anchor="_Toc365894906" w:history="1">
            <w:r w:rsidR="00A00D69" w:rsidRPr="00E76798">
              <w:rPr>
                <w:rStyle w:val="Hyperlink"/>
              </w:rPr>
              <w:t>Cleaner Greener Oxford:  Conclusions</w:t>
            </w:r>
            <w:r w:rsidR="00A00D69">
              <w:rPr>
                <w:webHidden/>
              </w:rPr>
              <w:tab/>
              <w:t>4</w:t>
            </w:r>
            <w:r w:rsidR="0084711C">
              <w:rPr>
                <w:webHidden/>
              </w:rPr>
              <w:t>8</w:t>
            </w:r>
          </w:hyperlink>
        </w:p>
        <w:p w:rsidR="00A00D69" w:rsidRPr="00F97452" w:rsidRDefault="00A00D69" w:rsidP="00A00D69">
          <w:pPr>
            <w:pStyle w:val="TOC1"/>
            <w:rPr>
              <w:rStyle w:val="Hyperlink"/>
              <w:b/>
              <w:color w:val="7030A0"/>
            </w:rPr>
          </w:pPr>
          <w:r w:rsidRPr="00F97452">
            <w:rPr>
              <w:rStyle w:val="Hyperlink"/>
              <w:b/>
              <w:color w:val="7030A0"/>
            </w:rPr>
            <w:t>Efficient and Effective Council</w:t>
          </w:r>
        </w:p>
        <w:p w:rsidR="00A00D69" w:rsidRPr="00302A29" w:rsidRDefault="000A4132" w:rsidP="00A00D69">
          <w:pPr>
            <w:pStyle w:val="TOC1"/>
            <w:rPr>
              <w:rFonts w:eastAsia="Times New Roman"/>
              <w:lang w:eastAsia="en-GB"/>
            </w:rPr>
          </w:pPr>
          <w:hyperlink w:anchor="_Toc365894907" w:history="1">
            <w:r w:rsidR="00A00D69">
              <w:rPr>
                <w:rStyle w:val="Hyperlink"/>
              </w:rPr>
              <w:t>Duty to co-operate</w:t>
            </w:r>
            <w:r w:rsidR="00A00D69">
              <w:rPr>
                <w:webHidden/>
              </w:rPr>
              <w:tab/>
            </w:r>
            <w:r w:rsidR="0084711C">
              <w:rPr>
                <w:webHidden/>
              </w:rPr>
              <w:t>50</w:t>
            </w:r>
          </w:hyperlink>
        </w:p>
        <w:p w:rsidR="00A00D69" w:rsidRPr="00302A29" w:rsidRDefault="000A4132" w:rsidP="00A00D69">
          <w:pPr>
            <w:pStyle w:val="TOC1"/>
            <w:rPr>
              <w:rFonts w:eastAsia="Times New Roman"/>
              <w:lang w:eastAsia="en-GB"/>
            </w:rPr>
          </w:pPr>
          <w:hyperlink w:anchor="_Toc365894908" w:history="1">
            <w:r w:rsidR="00A00D69">
              <w:rPr>
                <w:rStyle w:val="Hyperlink"/>
              </w:rPr>
              <w:t>Local Development Scheme Monitoring</w:t>
            </w:r>
            <w:r w:rsidR="00A00D69">
              <w:rPr>
                <w:webHidden/>
              </w:rPr>
              <w:tab/>
            </w:r>
            <w:r w:rsidR="0084711C">
              <w:rPr>
                <w:webHidden/>
              </w:rPr>
              <w:t>51</w:t>
            </w:r>
          </w:hyperlink>
        </w:p>
        <w:p w:rsidR="00A00D69" w:rsidRPr="00302A29" w:rsidRDefault="000A4132" w:rsidP="00A00D69">
          <w:pPr>
            <w:pStyle w:val="TOC1"/>
            <w:rPr>
              <w:rFonts w:eastAsia="Times New Roman"/>
              <w:lang w:eastAsia="en-GB"/>
            </w:rPr>
          </w:pPr>
          <w:hyperlink w:anchor="_Toc365894909" w:history="1">
            <w:r w:rsidR="00A00D69">
              <w:rPr>
                <w:rStyle w:val="Hyperlink"/>
              </w:rPr>
              <w:t>Appeal decision monitoring</w:t>
            </w:r>
            <w:r w:rsidR="00A00D69">
              <w:rPr>
                <w:webHidden/>
              </w:rPr>
              <w:tab/>
            </w:r>
            <w:r w:rsidR="0084711C">
              <w:rPr>
                <w:webHidden/>
              </w:rPr>
              <w:t>52</w:t>
            </w:r>
          </w:hyperlink>
        </w:p>
        <w:p w:rsidR="00A00D69" w:rsidRDefault="000A4132" w:rsidP="00A00D69">
          <w:pPr>
            <w:pStyle w:val="TOC1"/>
            <w:rPr>
              <w:rStyle w:val="Hyperlink"/>
            </w:rPr>
          </w:pPr>
          <w:hyperlink w:anchor="_Toc365894910" w:history="1">
            <w:r w:rsidR="00A00D69" w:rsidRPr="00E76798">
              <w:rPr>
                <w:rStyle w:val="Hyperlink"/>
              </w:rPr>
              <w:t>Statement of Community Involv</w:t>
            </w:r>
            <w:r w:rsidR="00A00D69">
              <w:rPr>
                <w:rStyle w:val="Hyperlink"/>
              </w:rPr>
              <w:t xml:space="preserve">ement </w:t>
            </w:r>
            <w:r w:rsidR="00A00D69">
              <w:rPr>
                <w:webHidden/>
              </w:rPr>
              <w:tab/>
            </w:r>
            <w:r w:rsidR="0084711C">
              <w:rPr>
                <w:webHidden/>
              </w:rPr>
              <w:t>54</w:t>
            </w:r>
          </w:hyperlink>
        </w:p>
        <w:p w:rsidR="00A00D69" w:rsidRPr="00A00D69" w:rsidRDefault="00A00D69" w:rsidP="00A00D69">
          <w:pPr>
            <w:pStyle w:val="TOC1"/>
          </w:pPr>
          <w:r w:rsidRPr="00A00D69">
            <w:rPr>
              <w:rStyle w:val="Hyperlink"/>
              <w:color w:val="auto"/>
              <w:u w:val="none"/>
            </w:rPr>
            <w:lastRenderedPageBreak/>
            <w:t>Community Infrastructre Levy</w:t>
          </w:r>
          <w:r w:rsidRPr="00A00D69">
            <w:rPr>
              <w:rStyle w:val="Hyperlink"/>
              <w:color w:val="auto"/>
              <w:u w:val="none"/>
            </w:rPr>
            <w:tab/>
            <w:t>5</w:t>
          </w:r>
          <w:r w:rsidR="00D40C20">
            <w:rPr>
              <w:rStyle w:val="Hyperlink"/>
              <w:color w:val="auto"/>
              <w:u w:val="none"/>
            </w:rPr>
            <w:t>8</w:t>
          </w:r>
        </w:p>
        <w:p w:rsidR="00A00D69" w:rsidRPr="00A00D69" w:rsidRDefault="00A00D69" w:rsidP="00A00D69">
          <w:pPr>
            <w:pStyle w:val="TOC1"/>
          </w:pPr>
          <w:r w:rsidRPr="00A00D69">
            <w:rPr>
              <w:rStyle w:val="Hyperlink"/>
              <w:color w:val="auto"/>
              <w:u w:val="none"/>
            </w:rPr>
            <w:t>Financial contributions for affordable housing</w:t>
          </w:r>
          <w:r w:rsidRPr="00A00D69">
            <w:rPr>
              <w:rStyle w:val="Hyperlink"/>
              <w:color w:val="auto"/>
              <w:u w:val="none"/>
            </w:rPr>
            <w:tab/>
          </w:r>
          <w:r w:rsidR="00D40C20">
            <w:rPr>
              <w:rStyle w:val="Hyperlink"/>
              <w:color w:val="auto"/>
              <w:u w:val="none"/>
            </w:rPr>
            <w:t>60</w:t>
          </w:r>
        </w:p>
        <w:p w:rsidR="00A00D69" w:rsidRPr="00EE076D" w:rsidRDefault="000A4132" w:rsidP="00A00D69">
          <w:pPr>
            <w:pStyle w:val="TOC1"/>
          </w:pPr>
          <w:hyperlink w:anchor="_Toc365894911" w:history="1">
            <w:r w:rsidR="00A00D69">
              <w:rPr>
                <w:rStyle w:val="Hyperlink"/>
              </w:rPr>
              <w:t>Summary</w:t>
            </w:r>
            <w:r w:rsidR="00A00D69" w:rsidRPr="00B1497B">
              <w:rPr>
                <w:rStyle w:val="Hyperlink"/>
              </w:rPr>
              <w:t xml:space="preserve">: Efficient and Effective Council </w:t>
            </w:r>
            <w:r w:rsidR="00A00D69" w:rsidRPr="00B1497B">
              <w:rPr>
                <w:webHidden/>
              </w:rPr>
              <w:tab/>
            </w:r>
            <w:r w:rsidR="00D40C20">
              <w:rPr>
                <w:webHidden/>
              </w:rPr>
              <w:t>61</w:t>
            </w:r>
          </w:hyperlink>
        </w:p>
        <w:p w:rsidR="00A00D69" w:rsidRPr="00A00D69" w:rsidRDefault="00A00D69" w:rsidP="00A00D69">
          <w:pPr>
            <w:pStyle w:val="TOC1"/>
            <w:rPr>
              <w:rStyle w:val="Hyperlink"/>
              <w:b/>
              <w:color w:val="auto"/>
              <w:u w:val="none"/>
            </w:rPr>
          </w:pPr>
          <w:r w:rsidRPr="00A00D69">
            <w:rPr>
              <w:rStyle w:val="Hyperlink"/>
              <w:color w:val="auto"/>
              <w:u w:val="none"/>
            </w:rPr>
            <w:t>Glossary</w:t>
          </w:r>
          <w:r w:rsidRPr="00A00D69">
            <w:rPr>
              <w:rStyle w:val="Hyperlink"/>
              <w:color w:val="auto"/>
              <w:u w:val="none"/>
            </w:rPr>
            <w:tab/>
          </w:r>
          <w:r w:rsidR="00D40C20">
            <w:rPr>
              <w:rStyle w:val="Hyperlink"/>
              <w:color w:val="auto"/>
              <w:u w:val="none"/>
            </w:rPr>
            <w:t>62</w:t>
          </w:r>
        </w:p>
        <w:p w:rsidR="00A00D69" w:rsidRPr="00A00D69" w:rsidRDefault="00A00D69" w:rsidP="00A00D69">
          <w:pPr>
            <w:pStyle w:val="TOC1"/>
            <w:rPr>
              <w:rStyle w:val="Hyperlink"/>
              <w:b/>
              <w:color w:val="auto"/>
              <w:u w:val="none"/>
            </w:rPr>
          </w:pPr>
          <w:r w:rsidRPr="00A00D69">
            <w:rPr>
              <w:rStyle w:val="Hyperlink"/>
              <w:color w:val="auto"/>
              <w:u w:val="none"/>
            </w:rPr>
            <w:t>Appendix 1: Core Strategy Sustainability Appraisal Monitoring</w:t>
          </w:r>
          <w:r w:rsidRPr="00A00D69">
            <w:rPr>
              <w:rStyle w:val="Hyperlink"/>
              <w:color w:val="auto"/>
              <w:u w:val="none"/>
            </w:rPr>
            <w:tab/>
            <w:t>6</w:t>
          </w:r>
          <w:r w:rsidR="00D40C20">
            <w:rPr>
              <w:rStyle w:val="Hyperlink"/>
              <w:color w:val="auto"/>
              <w:u w:val="none"/>
            </w:rPr>
            <w:t>4</w:t>
          </w:r>
        </w:p>
        <w:p w:rsidR="00A00D69" w:rsidRPr="00A00D69" w:rsidRDefault="00A00D69" w:rsidP="00A00D69">
          <w:pPr>
            <w:pStyle w:val="TOC1"/>
            <w:rPr>
              <w:rStyle w:val="Hyperlink"/>
              <w:color w:val="auto"/>
              <w:u w:val="none"/>
            </w:rPr>
          </w:pPr>
          <w:r w:rsidRPr="00A00D69">
            <w:rPr>
              <w:rStyle w:val="Hyperlink"/>
              <w:color w:val="auto"/>
              <w:u w:val="none"/>
            </w:rPr>
            <w:t>Appendix 2: Sites and Housing Plan Monitoring</w:t>
          </w:r>
          <w:r w:rsidRPr="00A00D69">
            <w:rPr>
              <w:rStyle w:val="Hyperlink"/>
              <w:b/>
              <w:color w:val="auto"/>
              <w:u w:val="none"/>
            </w:rPr>
            <w:t xml:space="preserve"> </w:t>
          </w:r>
          <w:r w:rsidRPr="00A00D69">
            <w:rPr>
              <w:rStyle w:val="Hyperlink"/>
              <w:color w:val="auto"/>
              <w:u w:val="none"/>
            </w:rPr>
            <w:tab/>
            <w:t>7</w:t>
          </w:r>
          <w:r w:rsidR="00D40C20">
            <w:rPr>
              <w:rStyle w:val="Hyperlink"/>
              <w:color w:val="auto"/>
              <w:u w:val="none"/>
            </w:rPr>
            <w:t>3</w:t>
          </w:r>
        </w:p>
        <w:p w:rsidR="00A00D69" w:rsidRDefault="00A00D69" w:rsidP="00A00D69"/>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Default="00A00D69" w:rsidP="00A00D69">
          <w:pPr>
            <w:keepNext/>
            <w:spacing w:line="276" w:lineRule="auto"/>
            <w:outlineLvl w:val="0"/>
            <w:rPr>
              <w:noProof/>
            </w:rPr>
          </w:pPr>
        </w:p>
        <w:p w:rsidR="00A00D69" w:rsidRPr="00B1497B" w:rsidRDefault="00A00D69" w:rsidP="00A00D69">
          <w:pPr>
            <w:rPr>
              <w:b/>
            </w:rPr>
          </w:pPr>
          <w:r>
            <w:rPr>
              <w:b/>
              <w:bCs/>
              <w:noProof/>
            </w:rPr>
            <w:fldChar w:fldCharType="end"/>
          </w:r>
        </w:p>
        <w:p w:rsidR="00A00D69" w:rsidRDefault="00A00D69"/>
        <w:p w:rsidR="00A00D69" w:rsidRDefault="00A00D69">
          <w:pPr>
            <w:rPr>
              <w:rFonts w:ascii="Calibri" w:eastAsia="Times New Roman" w:hAnsi="Calibri" w:cs="Times New Roman"/>
              <w:b/>
              <w:bCs/>
              <w:kern w:val="32"/>
              <w:sz w:val="32"/>
              <w:szCs w:val="32"/>
              <w:lang w:val="x-none"/>
            </w:rPr>
          </w:pPr>
          <w:r>
            <w:rPr>
              <w:rFonts w:ascii="Calibri" w:eastAsia="Times New Roman" w:hAnsi="Calibri" w:cs="Times New Roman"/>
              <w:b/>
              <w:bCs/>
              <w:kern w:val="32"/>
              <w:sz w:val="32"/>
              <w:szCs w:val="32"/>
              <w:lang w:val="x-none"/>
            </w:rPr>
            <w:br w:type="page"/>
          </w:r>
        </w:p>
      </w:sdtContent>
    </w:sdt>
    <w:p w:rsidR="00092402" w:rsidRDefault="00280EB5" w:rsidP="00264FC2">
      <w:pPr>
        <w:keepNext/>
        <w:spacing w:line="276" w:lineRule="auto"/>
        <w:outlineLvl w:val="0"/>
        <w:rPr>
          <w:rFonts w:ascii="Calibri" w:eastAsia="Times New Roman" w:hAnsi="Calibri" w:cs="Times New Roman"/>
          <w:b/>
          <w:bCs/>
          <w:kern w:val="32"/>
          <w:sz w:val="32"/>
          <w:szCs w:val="32"/>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40160" behindDoc="0" locked="0" layoutInCell="1" allowOverlap="1" wp14:anchorId="43F36441" wp14:editId="6B59DFB0">
                <wp:simplePos x="0" y="0"/>
                <wp:positionH relativeFrom="column">
                  <wp:posOffset>4073253</wp:posOffset>
                </wp:positionH>
                <wp:positionV relativeFrom="paragraph">
                  <wp:posOffset>-522605</wp:posOffset>
                </wp:positionV>
                <wp:extent cx="1722755" cy="3524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280EB5">
                            <w:pPr>
                              <w:jc w:val="right"/>
                              <w:rPr>
                                <w:b/>
                                <w:color w:val="595959" w:themeColor="text1" w:themeTint="A6"/>
                              </w:rPr>
                            </w:pPr>
                            <w:r>
                              <w:rPr>
                                <w:b/>
                                <w:color w:val="595959" w:themeColor="text1" w:themeTint="A6"/>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0.75pt;margin-top:-41.15pt;width:135.65pt;height:27.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" fillcolor="window" stroked="f" strokeweight=".5pt">
                <v:textbox>
                  <w:txbxContent>
                    <w:p w:rsidR="000D3CFF" w:rsidRPr="00280EB5" w:rsidRDefault="000D3CFF" w:rsidP="00280EB5">
                      <w:pPr>
                        <w:jc w:val="right"/>
                        <w:rPr>
                          <w:b/>
                          <w:color w:val="595959" w:themeColor="text1" w:themeTint="A6"/>
                        </w:rPr>
                      </w:pPr>
                      <w:r>
                        <w:rPr>
                          <w:b/>
                          <w:color w:val="595959" w:themeColor="text1" w:themeTint="A6"/>
                        </w:rPr>
                        <w:t>Introduction</w:t>
                      </w:r>
                    </w:p>
                  </w:txbxContent>
                </v:textbox>
              </v:shape>
            </w:pict>
          </mc:Fallback>
        </mc:AlternateContent>
      </w:r>
      <w:r w:rsidR="00092402" w:rsidRPr="00092402">
        <w:rPr>
          <w:rFonts w:ascii="Calibri" w:eastAsia="Times New Roman" w:hAnsi="Calibri" w:cs="Times New Roman"/>
          <w:b/>
          <w:bCs/>
          <w:kern w:val="32"/>
          <w:sz w:val="32"/>
          <w:szCs w:val="32"/>
          <w:lang w:val="x-none"/>
        </w:rPr>
        <w:t>Introduction</w:t>
      </w:r>
      <w:bookmarkEnd w:id="0"/>
      <w:r w:rsidR="00092402" w:rsidRPr="00092402">
        <w:rPr>
          <w:rFonts w:ascii="Calibri" w:eastAsia="Times New Roman" w:hAnsi="Calibri" w:cs="Times New Roman"/>
          <w:b/>
          <w:bCs/>
          <w:kern w:val="32"/>
          <w:sz w:val="32"/>
          <w:szCs w:val="32"/>
          <w:lang w:val="x-none"/>
        </w:rPr>
        <w:t xml:space="preserve"> </w:t>
      </w:r>
    </w:p>
    <w:p w:rsidR="00264FC2" w:rsidRPr="00264FC2" w:rsidRDefault="00264FC2" w:rsidP="00264FC2">
      <w:pPr>
        <w:keepNext/>
        <w:spacing w:line="276" w:lineRule="auto"/>
        <w:outlineLvl w:val="0"/>
        <w:rPr>
          <w:rFonts w:ascii="Calibri" w:eastAsia="Times New Roman" w:hAnsi="Calibri" w:cs="Times New Roman"/>
          <w:b/>
          <w:bCs/>
          <w:kern w:val="32"/>
        </w:rPr>
      </w:pPr>
    </w:p>
    <w:p w:rsidR="00092402" w:rsidRDefault="00092402"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sidRPr="00264FC2">
        <w:rPr>
          <w:rFonts w:ascii="Calibri" w:eastAsia="Calibri" w:hAnsi="Calibri" w:cs="Calibri"/>
          <w:color w:val="000000"/>
          <w:sz w:val="22"/>
          <w:szCs w:val="22"/>
        </w:rPr>
        <w:t xml:space="preserve">This is Oxford City Council’s </w:t>
      </w:r>
      <w:r w:rsidR="00472EA6" w:rsidRPr="00264FC2">
        <w:rPr>
          <w:rFonts w:ascii="Calibri" w:eastAsia="Calibri" w:hAnsi="Calibri" w:cs="Calibri"/>
          <w:color w:val="000000"/>
          <w:sz w:val="22"/>
          <w:szCs w:val="22"/>
        </w:rPr>
        <w:t>tenth Annual Monitoring Report</w:t>
      </w:r>
      <w:r w:rsidR="00D67594">
        <w:rPr>
          <w:rFonts w:ascii="Calibri" w:eastAsia="Calibri" w:hAnsi="Calibri" w:cs="Calibri"/>
          <w:color w:val="000000"/>
          <w:sz w:val="22"/>
          <w:szCs w:val="22"/>
        </w:rPr>
        <w:t xml:space="preserve"> (AMR) of Oxford’s Local Development Plan.</w:t>
      </w:r>
      <w:r w:rsidRPr="00264FC2">
        <w:rPr>
          <w:rFonts w:ascii="Calibri" w:eastAsia="Calibri" w:hAnsi="Calibri" w:cs="Calibri"/>
          <w:color w:val="000000"/>
          <w:sz w:val="22"/>
          <w:szCs w:val="22"/>
        </w:rPr>
        <w:t xml:space="preserve"> It covers the</w:t>
      </w:r>
      <w:r w:rsidR="00264FC2" w:rsidRPr="00264FC2">
        <w:rPr>
          <w:rFonts w:ascii="Calibri" w:eastAsia="Calibri" w:hAnsi="Calibri" w:cs="Calibri"/>
          <w:color w:val="000000"/>
          <w:sz w:val="22"/>
          <w:szCs w:val="22"/>
        </w:rPr>
        <w:t xml:space="preserve"> 12 month period </w:t>
      </w:r>
      <w:r w:rsidR="00D67594">
        <w:rPr>
          <w:rFonts w:ascii="Calibri" w:eastAsia="Calibri" w:hAnsi="Calibri" w:cs="Calibri"/>
          <w:color w:val="000000"/>
          <w:sz w:val="22"/>
          <w:szCs w:val="22"/>
        </w:rPr>
        <w:t xml:space="preserve">form </w:t>
      </w:r>
      <w:r w:rsidR="00E642A8">
        <w:rPr>
          <w:rFonts w:ascii="Calibri" w:eastAsia="Calibri" w:hAnsi="Calibri" w:cs="Calibri"/>
          <w:color w:val="000000"/>
          <w:sz w:val="22"/>
          <w:szCs w:val="22"/>
        </w:rPr>
        <w:t>1</w:t>
      </w:r>
      <w:r w:rsidR="00264FC2" w:rsidRPr="00264FC2">
        <w:rPr>
          <w:rFonts w:ascii="Calibri" w:eastAsia="Calibri" w:hAnsi="Calibri" w:cs="Calibri"/>
          <w:color w:val="000000"/>
          <w:sz w:val="22"/>
          <w:szCs w:val="22"/>
        </w:rPr>
        <w:t xml:space="preserve"> April 2013 - 31 March 2014</w:t>
      </w:r>
      <w:r w:rsidRPr="00264FC2">
        <w:rPr>
          <w:rFonts w:ascii="Calibri" w:eastAsia="Calibri" w:hAnsi="Calibri" w:cs="Calibri"/>
          <w:color w:val="000000"/>
          <w:sz w:val="22"/>
          <w:szCs w:val="22"/>
        </w:rPr>
        <w:t>.</w:t>
      </w:r>
    </w:p>
    <w:p w:rsidR="00A53FE4" w:rsidRDefault="00A53FE4" w:rsidP="00A53FE4">
      <w:pPr>
        <w:pStyle w:val="ListParagraph"/>
        <w:autoSpaceDE w:val="0"/>
        <w:autoSpaceDN w:val="0"/>
        <w:adjustRightInd w:val="0"/>
        <w:spacing w:after="200" w:line="276" w:lineRule="auto"/>
        <w:ind w:left="360"/>
        <w:jc w:val="both"/>
        <w:rPr>
          <w:rFonts w:ascii="Calibri" w:eastAsia="Calibri" w:hAnsi="Calibri" w:cs="Calibri"/>
          <w:color w:val="000000"/>
          <w:sz w:val="22"/>
          <w:szCs w:val="22"/>
        </w:rPr>
      </w:pPr>
    </w:p>
    <w:p w:rsidR="00092402" w:rsidRDefault="00092402"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sidRPr="00A53FE4">
        <w:rPr>
          <w:rFonts w:ascii="Calibri" w:eastAsia="Calibri" w:hAnsi="Calibri" w:cs="Calibri"/>
          <w:color w:val="000000"/>
          <w:sz w:val="22"/>
          <w:szCs w:val="22"/>
        </w:rPr>
        <w:t>Monitoring is essential to establish what is happening now and what may happen in the future and to compare these trends against existing policies and targets to de</w:t>
      </w:r>
      <w:r w:rsidR="00FA60DB">
        <w:rPr>
          <w:rFonts w:ascii="Calibri" w:eastAsia="Calibri" w:hAnsi="Calibri" w:cs="Calibri"/>
          <w:color w:val="000000"/>
          <w:sz w:val="22"/>
          <w:szCs w:val="22"/>
        </w:rPr>
        <w:t xml:space="preserve">termine what needs to be done. </w:t>
      </w:r>
      <w:r w:rsidR="0044790B">
        <w:rPr>
          <w:rFonts w:ascii="Calibri" w:eastAsia="Calibri" w:hAnsi="Calibri" w:cs="Calibri"/>
          <w:color w:val="000000"/>
          <w:sz w:val="22"/>
          <w:szCs w:val="22"/>
        </w:rPr>
        <w:t>It provides crucial feedback</w:t>
      </w:r>
      <w:r w:rsidRPr="00A53FE4">
        <w:rPr>
          <w:rFonts w:ascii="Calibri" w:eastAsia="Calibri" w:hAnsi="Calibri" w:cs="Calibri"/>
          <w:color w:val="000000"/>
          <w:sz w:val="22"/>
          <w:szCs w:val="22"/>
        </w:rPr>
        <w:t xml:space="preserve"> on the performance of </w:t>
      </w:r>
      <w:r w:rsidR="00FA60DB">
        <w:rPr>
          <w:rFonts w:ascii="Calibri" w:eastAsia="Calibri" w:hAnsi="Calibri" w:cs="Calibri"/>
          <w:color w:val="000000"/>
          <w:sz w:val="22"/>
          <w:szCs w:val="22"/>
        </w:rPr>
        <w:t xml:space="preserve">planning </w:t>
      </w:r>
      <w:r w:rsidRPr="00A53FE4">
        <w:rPr>
          <w:rFonts w:ascii="Calibri" w:eastAsia="Calibri" w:hAnsi="Calibri" w:cs="Calibri"/>
          <w:color w:val="000000"/>
          <w:sz w:val="22"/>
          <w:szCs w:val="22"/>
        </w:rPr>
        <w:t>policy an</w:t>
      </w:r>
      <w:r w:rsidR="00FA60DB">
        <w:rPr>
          <w:rFonts w:ascii="Calibri" w:eastAsia="Calibri" w:hAnsi="Calibri" w:cs="Calibri"/>
          <w:color w:val="000000"/>
          <w:sz w:val="22"/>
          <w:szCs w:val="22"/>
        </w:rPr>
        <w:t xml:space="preserve">d its surrounding environment. </w:t>
      </w:r>
      <w:r w:rsidRPr="00A53FE4">
        <w:rPr>
          <w:rFonts w:ascii="Calibri" w:eastAsia="Calibri" w:hAnsi="Calibri" w:cs="Calibri"/>
          <w:color w:val="000000"/>
          <w:sz w:val="22"/>
          <w:szCs w:val="22"/>
        </w:rPr>
        <w:t>As the delivery of sustainable developmen</w:t>
      </w:r>
      <w:r w:rsidR="007B6707">
        <w:rPr>
          <w:rFonts w:ascii="Calibri" w:eastAsia="Calibri" w:hAnsi="Calibri" w:cs="Calibri"/>
          <w:color w:val="000000"/>
          <w:sz w:val="22"/>
          <w:szCs w:val="22"/>
        </w:rPr>
        <w:t xml:space="preserve">t and sustainable </w:t>
      </w:r>
      <w:r w:rsidR="00FA60DB">
        <w:rPr>
          <w:rFonts w:ascii="Calibri" w:eastAsia="Calibri" w:hAnsi="Calibri" w:cs="Calibri"/>
          <w:color w:val="000000"/>
          <w:sz w:val="22"/>
          <w:szCs w:val="22"/>
        </w:rPr>
        <w:t>communities are</w:t>
      </w:r>
      <w:r w:rsidRPr="00A53FE4">
        <w:rPr>
          <w:rFonts w:ascii="Calibri" w:eastAsia="Calibri" w:hAnsi="Calibri" w:cs="Calibri"/>
          <w:color w:val="000000"/>
          <w:sz w:val="22"/>
          <w:szCs w:val="22"/>
        </w:rPr>
        <w:t xml:space="preserve"> a key focus of planning, monitoring provides a check on whether those aims are being achieved. Monitoring will also enable the City Council to respond more quickly to changing priorities and circumstances.</w:t>
      </w:r>
    </w:p>
    <w:p w:rsidR="003F0E41" w:rsidRPr="003F0E41" w:rsidRDefault="003F0E41" w:rsidP="003F0E41">
      <w:pPr>
        <w:pStyle w:val="ListParagraph"/>
        <w:rPr>
          <w:rFonts w:ascii="Calibri" w:eastAsia="Calibri" w:hAnsi="Calibri" w:cs="Calibri"/>
          <w:color w:val="000000"/>
          <w:sz w:val="22"/>
          <w:szCs w:val="22"/>
        </w:rPr>
      </w:pPr>
    </w:p>
    <w:p w:rsidR="00092402" w:rsidRPr="00092402" w:rsidRDefault="00E642A8" w:rsidP="004335B5">
      <w:pPr>
        <w:pStyle w:val="ListParagraph"/>
        <w:numPr>
          <w:ilvl w:val="1"/>
          <w:numId w:val="3"/>
        </w:numPr>
        <w:autoSpaceDE w:val="0"/>
        <w:autoSpaceDN w:val="0"/>
        <w:adjustRightInd w:val="0"/>
        <w:spacing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Oxford’s Local D</w:t>
      </w:r>
      <w:r w:rsidR="00D87F90">
        <w:rPr>
          <w:rFonts w:ascii="Calibri" w:eastAsia="Calibri" w:hAnsi="Calibri" w:cs="Calibri"/>
          <w:color w:val="000000"/>
          <w:sz w:val="22"/>
          <w:szCs w:val="22"/>
        </w:rPr>
        <w:t>evelopment Plan (</w:t>
      </w:r>
      <w:r w:rsidR="00D67594">
        <w:rPr>
          <w:rFonts w:ascii="Calibri" w:eastAsia="Calibri" w:hAnsi="Calibri" w:cs="Calibri"/>
          <w:color w:val="000000"/>
          <w:sz w:val="22"/>
          <w:szCs w:val="22"/>
        </w:rPr>
        <w:t>Core Strategy, Sites and Housing Plan</w:t>
      </w:r>
      <w:r w:rsidR="00D87F90">
        <w:rPr>
          <w:rFonts w:ascii="Calibri" w:eastAsia="Calibri" w:hAnsi="Calibri" w:cs="Calibri"/>
          <w:color w:val="000000"/>
          <w:sz w:val="22"/>
          <w:szCs w:val="22"/>
        </w:rPr>
        <w:t>,</w:t>
      </w:r>
      <w:r w:rsidR="00D67594">
        <w:rPr>
          <w:rFonts w:ascii="Calibri" w:eastAsia="Calibri" w:hAnsi="Calibri" w:cs="Calibri"/>
          <w:color w:val="000000"/>
          <w:sz w:val="22"/>
          <w:szCs w:val="22"/>
        </w:rPr>
        <w:t xml:space="preserve"> adopted </w:t>
      </w:r>
      <w:r w:rsidR="0012161F">
        <w:rPr>
          <w:rFonts w:ascii="Calibri" w:eastAsia="Calibri" w:hAnsi="Calibri" w:cs="Calibri"/>
          <w:color w:val="000000"/>
          <w:sz w:val="22"/>
          <w:szCs w:val="22"/>
        </w:rPr>
        <w:t>A</w:t>
      </w:r>
      <w:r w:rsidR="00D67594">
        <w:rPr>
          <w:rFonts w:ascii="Calibri" w:eastAsia="Calibri" w:hAnsi="Calibri" w:cs="Calibri"/>
          <w:color w:val="000000"/>
          <w:sz w:val="22"/>
          <w:szCs w:val="22"/>
        </w:rPr>
        <w:t xml:space="preserve">rea </w:t>
      </w:r>
      <w:r w:rsidR="0012161F">
        <w:rPr>
          <w:rFonts w:ascii="Calibri" w:eastAsia="Calibri" w:hAnsi="Calibri" w:cs="Calibri"/>
          <w:color w:val="000000"/>
          <w:sz w:val="22"/>
          <w:szCs w:val="22"/>
        </w:rPr>
        <w:t>Action P</w:t>
      </w:r>
      <w:r w:rsidR="00D67594">
        <w:rPr>
          <w:rFonts w:ascii="Calibri" w:eastAsia="Calibri" w:hAnsi="Calibri" w:cs="Calibri"/>
          <w:color w:val="000000"/>
          <w:sz w:val="22"/>
          <w:szCs w:val="22"/>
        </w:rPr>
        <w:t>lan</w:t>
      </w:r>
      <w:r w:rsidR="00D87F90">
        <w:rPr>
          <w:rFonts w:ascii="Calibri" w:eastAsia="Calibri" w:hAnsi="Calibri" w:cs="Calibri"/>
          <w:color w:val="000000"/>
          <w:sz w:val="22"/>
          <w:szCs w:val="22"/>
        </w:rPr>
        <w:t>s and the saved parts of the Local Plan)</w:t>
      </w:r>
      <w:r w:rsidR="0012161F">
        <w:rPr>
          <w:rFonts w:ascii="Calibri" w:eastAsia="Calibri" w:hAnsi="Calibri" w:cs="Calibri"/>
          <w:color w:val="000000"/>
          <w:sz w:val="22"/>
          <w:szCs w:val="22"/>
        </w:rPr>
        <w:t xml:space="preserve"> are</w:t>
      </w:r>
      <w:r w:rsidR="00092402" w:rsidRPr="00092402">
        <w:rPr>
          <w:rFonts w:ascii="Calibri" w:eastAsia="Calibri" w:hAnsi="Calibri" w:cs="Calibri"/>
          <w:color w:val="000000"/>
          <w:sz w:val="22"/>
          <w:szCs w:val="22"/>
        </w:rPr>
        <w:t xml:space="preserve"> monitored in order to assess:</w:t>
      </w:r>
    </w:p>
    <w:p w:rsidR="00092402" w:rsidRPr="00092402" w:rsidRDefault="00092402" w:rsidP="004335B5">
      <w:pPr>
        <w:numPr>
          <w:ilvl w:val="0"/>
          <w:numId w:val="2"/>
        </w:numPr>
        <w:autoSpaceDE w:val="0"/>
        <w:autoSpaceDN w:val="0"/>
        <w:adjustRightInd w:val="0"/>
        <w:spacing w:after="200" w:line="276" w:lineRule="auto"/>
        <w:ind w:hanging="371"/>
        <w:contextualSpacing/>
        <w:jc w:val="both"/>
        <w:rPr>
          <w:rFonts w:ascii="Calibri" w:eastAsia="Calibri" w:hAnsi="Calibri" w:cs="Calibri"/>
          <w:color w:val="000000"/>
          <w:sz w:val="22"/>
          <w:szCs w:val="22"/>
        </w:rPr>
      </w:pPr>
      <w:r w:rsidRPr="00092402">
        <w:rPr>
          <w:rFonts w:ascii="Calibri" w:eastAsia="Calibri" w:hAnsi="Calibri" w:cs="Calibri"/>
          <w:color w:val="000000"/>
          <w:sz w:val="22"/>
          <w:szCs w:val="22"/>
        </w:rPr>
        <w:t>Whether policies and related targets have been met</w:t>
      </w:r>
      <w:r w:rsidR="00A72FCF">
        <w:rPr>
          <w:rFonts w:ascii="Calibri" w:eastAsia="Calibri" w:hAnsi="Calibri" w:cs="Calibri"/>
          <w:color w:val="000000"/>
          <w:sz w:val="22"/>
          <w:szCs w:val="22"/>
        </w:rPr>
        <w:t>,</w:t>
      </w:r>
      <w:r w:rsidRPr="00092402">
        <w:rPr>
          <w:rFonts w:ascii="Calibri" w:eastAsia="Calibri" w:hAnsi="Calibri" w:cs="Calibri"/>
          <w:color w:val="000000"/>
          <w:sz w:val="22"/>
          <w:szCs w:val="22"/>
        </w:rPr>
        <w:t xml:space="preserve"> or progress is being made towards meeting them, or if not, the reasons </w:t>
      </w:r>
      <w:r w:rsidR="00A72FCF">
        <w:rPr>
          <w:rFonts w:ascii="Calibri" w:eastAsia="Calibri" w:hAnsi="Calibri" w:cs="Calibri"/>
          <w:color w:val="000000"/>
          <w:sz w:val="22"/>
          <w:szCs w:val="22"/>
        </w:rPr>
        <w:t>why</w:t>
      </w:r>
      <w:r w:rsidRPr="00092402">
        <w:rPr>
          <w:rFonts w:ascii="Calibri" w:eastAsia="Calibri" w:hAnsi="Calibri" w:cs="Calibri"/>
          <w:color w:val="000000"/>
          <w:sz w:val="22"/>
          <w:szCs w:val="22"/>
        </w:rPr>
        <w:t>;</w:t>
      </w:r>
    </w:p>
    <w:p w:rsidR="00092402" w:rsidRPr="00092402" w:rsidRDefault="00092402" w:rsidP="004335B5">
      <w:pPr>
        <w:numPr>
          <w:ilvl w:val="0"/>
          <w:numId w:val="2"/>
        </w:numPr>
        <w:autoSpaceDE w:val="0"/>
        <w:autoSpaceDN w:val="0"/>
        <w:adjustRightInd w:val="0"/>
        <w:spacing w:after="200" w:line="276" w:lineRule="auto"/>
        <w:ind w:hanging="371"/>
        <w:contextualSpacing/>
        <w:jc w:val="both"/>
        <w:rPr>
          <w:rFonts w:ascii="Calibri" w:eastAsia="Calibri" w:hAnsi="Calibri" w:cs="Calibri"/>
          <w:color w:val="000000"/>
          <w:sz w:val="22"/>
          <w:szCs w:val="22"/>
        </w:rPr>
      </w:pPr>
      <w:r w:rsidRPr="00092402">
        <w:rPr>
          <w:rFonts w:ascii="Calibri" w:eastAsia="Calibri" w:hAnsi="Calibri" w:cs="Calibri"/>
          <w:color w:val="000000"/>
          <w:sz w:val="22"/>
          <w:szCs w:val="22"/>
        </w:rPr>
        <w:t xml:space="preserve">What impact the policies are having in respect of </w:t>
      </w:r>
      <w:r w:rsidR="00A72FCF">
        <w:rPr>
          <w:rFonts w:ascii="Calibri" w:eastAsia="Calibri" w:hAnsi="Calibri" w:cs="Calibri"/>
          <w:color w:val="000000"/>
          <w:sz w:val="22"/>
          <w:szCs w:val="22"/>
        </w:rPr>
        <w:t xml:space="preserve">other </w:t>
      </w:r>
      <w:r w:rsidRPr="00092402">
        <w:rPr>
          <w:rFonts w:ascii="Calibri" w:eastAsia="Calibri" w:hAnsi="Calibri" w:cs="Calibri"/>
          <w:color w:val="000000"/>
          <w:sz w:val="22"/>
          <w:szCs w:val="22"/>
        </w:rPr>
        <w:t>national and local targets</w:t>
      </w:r>
      <w:r w:rsidR="00A72FCF">
        <w:rPr>
          <w:rFonts w:ascii="Calibri" w:eastAsia="Calibri" w:hAnsi="Calibri" w:cs="Calibri"/>
          <w:color w:val="000000"/>
          <w:sz w:val="22"/>
          <w:szCs w:val="22"/>
        </w:rPr>
        <w:t>;</w:t>
      </w:r>
      <w:r w:rsidRPr="00092402">
        <w:rPr>
          <w:rFonts w:ascii="Calibri" w:eastAsia="Calibri" w:hAnsi="Calibri" w:cs="Calibri"/>
          <w:color w:val="000000"/>
          <w:sz w:val="22"/>
          <w:szCs w:val="22"/>
        </w:rPr>
        <w:t xml:space="preserve"> </w:t>
      </w:r>
    </w:p>
    <w:p w:rsidR="00092402" w:rsidRPr="00092402" w:rsidRDefault="00092402" w:rsidP="004335B5">
      <w:pPr>
        <w:numPr>
          <w:ilvl w:val="0"/>
          <w:numId w:val="2"/>
        </w:numPr>
        <w:autoSpaceDE w:val="0"/>
        <w:autoSpaceDN w:val="0"/>
        <w:adjustRightInd w:val="0"/>
        <w:spacing w:after="200" w:line="276" w:lineRule="auto"/>
        <w:ind w:hanging="371"/>
        <w:contextualSpacing/>
        <w:jc w:val="both"/>
        <w:rPr>
          <w:rFonts w:ascii="Calibri" w:eastAsia="Calibri" w:hAnsi="Calibri" w:cs="Calibri"/>
          <w:color w:val="000000"/>
          <w:sz w:val="22"/>
          <w:szCs w:val="22"/>
        </w:rPr>
      </w:pPr>
      <w:r w:rsidRPr="00092402">
        <w:rPr>
          <w:rFonts w:ascii="Calibri" w:eastAsia="Calibri" w:hAnsi="Calibri" w:cs="Calibri"/>
          <w:color w:val="000000"/>
          <w:sz w:val="22"/>
          <w:szCs w:val="22"/>
        </w:rPr>
        <w:t xml:space="preserve">Whether policies in the Local Development </w:t>
      </w:r>
      <w:r w:rsidR="00A72FCF">
        <w:rPr>
          <w:rFonts w:ascii="Calibri" w:eastAsia="Calibri" w:hAnsi="Calibri" w:cs="Calibri"/>
          <w:color w:val="000000"/>
          <w:sz w:val="22"/>
          <w:szCs w:val="22"/>
        </w:rPr>
        <w:t>Plan</w:t>
      </w:r>
      <w:r w:rsidRPr="00092402">
        <w:rPr>
          <w:rFonts w:ascii="Calibri" w:eastAsia="Calibri" w:hAnsi="Calibri" w:cs="Calibri"/>
          <w:color w:val="000000"/>
          <w:sz w:val="22"/>
          <w:szCs w:val="22"/>
        </w:rPr>
        <w:t xml:space="preserve"> need adjusting, or replacing, because they are not working as intended;</w:t>
      </w:r>
    </w:p>
    <w:p w:rsidR="00092402" w:rsidRPr="00092402" w:rsidRDefault="00092402" w:rsidP="004335B5">
      <w:pPr>
        <w:numPr>
          <w:ilvl w:val="0"/>
          <w:numId w:val="2"/>
        </w:numPr>
        <w:autoSpaceDE w:val="0"/>
        <w:autoSpaceDN w:val="0"/>
        <w:adjustRightInd w:val="0"/>
        <w:spacing w:after="200" w:line="276" w:lineRule="auto"/>
        <w:ind w:hanging="371"/>
        <w:contextualSpacing/>
        <w:jc w:val="both"/>
        <w:rPr>
          <w:rFonts w:ascii="Calibri" w:eastAsia="Calibri" w:hAnsi="Calibri" w:cs="Calibri"/>
          <w:color w:val="000000"/>
          <w:sz w:val="22"/>
          <w:szCs w:val="22"/>
        </w:rPr>
      </w:pPr>
      <w:r w:rsidRPr="00092402">
        <w:rPr>
          <w:rFonts w:ascii="Calibri" w:eastAsia="Calibri" w:hAnsi="Calibri" w:cs="Calibri"/>
          <w:color w:val="000000"/>
          <w:sz w:val="22"/>
          <w:szCs w:val="22"/>
        </w:rPr>
        <w:t xml:space="preserve">Whether the policies need changing to reflect changes in national policy; and </w:t>
      </w:r>
    </w:p>
    <w:p w:rsidR="00092402" w:rsidRPr="00092402" w:rsidRDefault="00092402" w:rsidP="004335B5">
      <w:pPr>
        <w:numPr>
          <w:ilvl w:val="0"/>
          <w:numId w:val="2"/>
        </w:numPr>
        <w:autoSpaceDE w:val="0"/>
        <w:autoSpaceDN w:val="0"/>
        <w:adjustRightInd w:val="0"/>
        <w:spacing w:after="200" w:line="276" w:lineRule="auto"/>
        <w:ind w:hanging="371"/>
        <w:contextualSpacing/>
        <w:jc w:val="both"/>
        <w:rPr>
          <w:rFonts w:ascii="TTE257B4C8t00" w:eastAsia="Calibri" w:hAnsi="TTE257B4C8t00" w:cs="TTE257B4C8t00"/>
          <w:sz w:val="22"/>
          <w:szCs w:val="22"/>
          <w:lang w:eastAsia="en-GB"/>
        </w:rPr>
      </w:pPr>
      <w:r w:rsidRPr="00092402">
        <w:rPr>
          <w:rFonts w:ascii="Calibri" w:eastAsia="Calibri" w:hAnsi="Calibri" w:cs="Calibri"/>
          <w:color w:val="000000"/>
          <w:sz w:val="22"/>
          <w:szCs w:val="22"/>
        </w:rPr>
        <w:t>If policies or proposals need changing, the actions needed to achieve this.</w:t>
      </w:r>
    </w:p>
    <w:p w:rsidR="00640C4B" w:rsidRPr="0064398B" w:rsidRDefault="00640C4B" w:rsidP="00640C4B">
      <w:pPr>
        <w:autoSpaceDE w:val="0"/>
        <w:autoSpaceDN w:val="0"/>
        <w:adjustRightInd w:val="0"/>
        <w:contextualSpacing/>
        <w:jc w:val="both"/>
        <w:rPr>
          <w:rFonts w:ascii="TTE257B4C8t00" w:eastAsia="Calibri" w:hAnsi="TTE257B4C8t00" w:cs="TTE257B4C8t00"/>
          <w:sz w:val="12"/>
          <w:szCs w:val="22"/>
          <w:lang w:eastAsia="en-GB"/>
        </w:rPr>
      </w:pPr>
    </w:p>
    <w:p w:rsidR="00D87F90" w:rsidRDefault="00D87F90"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This report also includes the following, additional aspects of planning policy monitoring:</w:t>
      </w:r>
    </w:p>
    <w:p w:rsidR="00D87F90" w:rsidRDefault="00AB1174"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Local Development Scheme m</w:t>
      </w:r>
      <w:r w:rsidR="00D87F90">
        <w:rPr>
          <w:rFonts w:ascii="Calibri" w:eastAsia="Calibri" w:hAnsi="Calibri" w:cs="Calibri"/>
          <w:color w:val="000000"/>
          <w:sz w:val="22"/>
          <w:szCs w:val="22"/>
        </w:rPr>
        <w:t>onitoring</w:t>
      </w:r>
      <w:r w:rsidR="00A72FCF">
        <w:rPr>
          <w:rFonts w:ascii="Calibri" w:eastAsia="Calibri" w:hAnsi="Calibri" w:cs="Calibri"/>
          <w:color w:val="000000"/>
          <w:sz w:val="22"/>
          <w:szCs w:val="22"/>
        </w:rPr>
        <w:t>;</w:t>
      </w:r>
    </w:p>
    <w:p w:rsidR="00D87F90" w:rsidRDefault="00D87F90"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sidRPr="00D87F90">
        <w:rPr>
          <w:rFonts w:ascii="Calibri" w:eastAsia="Calibri" w:hAnsi="Calibri" w:cs="Calibri"/>
          <w:color w:val="000000"/>
          <w:sz w:val="22"/>
          <w:szCs w:val="22"/>
        </w:rPr>
        <w:t>Stat</w:t>
      </w:r>
      <w:r w:rsidR="00AB1174">
        <w:rPr>
          <w:rFonts w:ascii="Calibri" w:eastAsia="Calibri" w:hAnsi="Calibri" w:cs="Calibri"/>
          <w:color w:val="000000"/>
          <w:sz w:val="22"/>
          <w:szCs w:val="22"/>
        </w:rPr>
        <w:t>ement of Community Involvement m</w:t>
      </w:r>
      <w:r w:rsidRPr="00D87F90">
        <w:rPr>
          <w:rFonts w:ascii="Calibri" w:eastAsia="Calibri" w:hAnsi="Calibri" w:cs="Calibri"/>
          <w:color w:val="000000"/>
          <w:sz w:val="22"/>
          <w:szCs w:val="22"/>
        </w:rPr>
        <w:t>onitoring</w:t>
      </w:r>
      <w:r w:rsidR="00A72FCF">
        <w:rPr>
          <w:rFonts w:ascii="Calibri" w:eastAsia="Calibri" w:hAnsi="Calibri" w:cs="Calibri"/>
          <w:color w:val="000000"/>
          <w:sz w:val="22"/>
          <w:szCs w:val="22"/>
        </w:rPr>
        <w:t>;</w:t>
      </w:r>
    </w:p>
    <w:p w:rsidR="00D87F90" w:rsidRDefault="00AB1174"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Neighbourhood Plan m</w:t>
      </w:r>
      <w:r w:rsidR="00D87F90" w:rsidRPr="00D87F90">
        <w:rPr>
          <w:rFonts w:ascii="Calibri" w:eastAsia="Calibri" w:hAnsi="Calibri" w:cs="Calibri"/>
          <w:color w:val="000000"/>
          <w:sz w:val="22"/>
          <w:szCs w:val="22"/>
        </w:rPr>
        <w:t>onitoring</w:t>
      </w:r>
      <w:r w:rsidR="00A72FCF">
        <w:rPr>
          <w:rFonts w:ascii="Calibri" w:eastAsia="Calibri" w:hAnsi="Calibri" w:cs="Calibri"/>
          <w:color w:val="000000"/>
          <w:sz w:val="22"/>
          <w:szCs w:val="22"/>
        </w:rPr>
        <w:t>;</w:t>
      </w:r>
    </w:p>
    <w:p w:rsidR="00D87F90" w:rsidRDefault="00AB1174"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Community Infrastructure</w:t>
      </w:r>
      <w:r w:rsidR="00E642A8">
        <w:rPr>
          <w:rFonts w:ascii="Calibri" w:eastAsia="Calibri" w:hAnsi="Calibri" w:cs="Calibri"/>
          <w:color w:val="000000"/>
          <w:sz w:val="22"/>
          <w:szCs w:val="22"/>
        </w:rPr>
        <w:t xml:space="preserve"> Levy</w:t>
      </w:r>
      <w:r>
        <w:rPr>
          <w:rFonts w:ascii="Calibri" w:eastAsia="Calibri" w:hAnsi="Calibri" w:cs="Calibri"/>
          <w:color w:val="000000"/>
          <w:sz w:val="22"/>
          <w:szCs w:val="22"/>
        </w:rPr>
        <w:t xml:space="preserve"> m</w:t>
      </w:r>
      <w:r w:rsidR="00D87F90" w:rsidRPr="00D87F90">
        <w:rPr>
          <w:rFonts w:ascii="Calibri" w:eastAsia="Calibri" w:hAnsi="Calibri" w:cs="Calibri"/>
          <w:color w:val="000000"/>
          <w:sz w:val="22"/>
          <w:szCs w:val="22"/>
        </w:rPr>
        <w:t>onitoring</w:t>
      </w:r>
      <w:r w:rsidR="00A72FCF">
        <w:rPr>
          <w:rFonts w:ascii="Calibri" w:eastAsia="Calibri" w:hAnsi="Calibri" w:cs="Calibri"/>
          <w:color w:val="000000"/>
          <w:sz w:val="22"/>
          <w:szCs w:val="22"/>
        </w:rPr>
        <w:t xml:space="preserve">; </w:t>
      </w:r>
    </w:p>
    <w:p w:rsidR="00031040" w:rsidRDefault="00AB1174"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Duty to Co</w:t>
      </w:r>
      <w:r w:rsidR="00E642A8">
        <w:rPr>
          <w:rFonts w:ascii="Calibri" w:eastAsia="Calibri" w:hAnsi="Calibri" w:cs="Calibri"/>
          <w:color w:val="000000"/>
          <w:sz w:val="22"/>
          <w:szCs w:val="22"/>
        </w:rPr>
        <w:t>-</w:t>
      </w:r>
      <w:r>
        <w:rPr>
          <w:rFonts w:ascii="Calibri" w:eastAsia="Calibri" w:hAnsi="Calibri" w:cs="Calibri"/>
          <w:color w:val="000000"/>
          <w:sz w:val="22"/>
          <w:szCs w:val="22"/>
        </w:rPr>
        <w:t>operate m</w:t>
      </w:r>
      <w:r w:rsidR="00D87F90">
        <w:rPr>
          <w:rFonts w:ascii="Calibri" w:eastAsia="Calibri" w:hAnsi="Calibri" w:cs="Calibri"/>
          <w:color w:val="000000"/>
          <w:sz w:val="22"/>
          <w:szCs w:val="22"/>
        </w:rPr>
        <w:t>onitoring</w:t>
      </w:r>
      <w:r>
        <w:rPr>
          <w:rFonts w:ascii="Calibri" w:eastAsia="Calibri" w:hAnsi="Calibri" w:cs="Calibri"/>
          <w:color w:val="000000"/>
          <w:sz w:val="22"/>
          <w:szCs w:val="22"/>
        </w:rPr>
        <w:t>;</w:t>
      </w:r>
    </w:p>
    <w:p w:rsidR="00D87F90" w:rsidRDefault="00031040"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Appeals monitoring;</w:t>
      </w:r>
      <w:r w:rsidR="00AB1174">
        <w:rPr>
          <w:rFonts w:ascii="Calibri" w:eastAsia="Calibri" w:hAnsi="Calibri" w:cs="Calibri"/>
          <w:color w:val="000000"/>
          <w:sz w:val="22"/>
          <w:szCs w:val="22"/>
        </w:rPr>
        <w:t xml:space="preserve"> and</w:t>
      </w:r>
    </w:p>
    <w:p w:rsidR="00AB1174" w:rsidRDefault="00AB1174" w:rsidP="004335B5">
      <w:pPr>
        <w:pStyle w:val="ListParagraph"/>
        <w:numPr>
          <w:ilvl w:val="0"/>
          <w:numId w:val="16"/>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Sustainability Appraisal monitoring</w:t>
      </w:r>
      <w:r w:rsidR="00E642A8">
        <w:rPr>
          <w:rFonts w:ascii="Calibri" w:eastAsia="Calibri" w:hAnsi="Calibri" w:cs="Calibri"/>
          <w:color w:val="000000"/>
          <w:sz w:val="22"/>
          <w:szCs w:val="22"/>
        </w:rPr>
        <w:t>.</w:t>
      </w:r>
    </w:p>
    <w:p w:rsidR="00D87F90" w:rsidRPr="00D87F90" w:rsidRDefault="00D87F90" w:rsidP="00D87F90">
      <w:pPr>
        <w:pStyle w:val="ListParagraph"/>
        <w:autoSpaceDE w:val="0"/>
        <w:autoSpaceDN w:val="0"/>
        <w:adjustRightInd w:val="0"/>
        <w:spacing w:after="200" w:line="276" w:lineRule="auto"/>
        <w:ind w:left="1080"/>
        <w:jc w:val="both"/>
        <w:rPr>
          <w:rFonts w:ascii="Calibri" w:eastAsia="Calibri" w:hAnsi="Calibri" w:cs="Calibri"/>
          <w:color w:val="000000"/>
          <w:sz w:val="22"/>
          <w:szCs w:val="22"/>
        </w:rPr>
      </w:pPr>
    </w:p>
    <w:p w:rsidR="0064398B" w:rsidRDefault="0064398B" w:rsidP="000C3DDE">
      <w:pPr>
        <w:rPr>
          <w:rFonts w:ascii="Calibri" w:eastAsia="Calibri" w:hAnsi="Calibri" w:cs="Calibri"/>
          <w:color w:val="000000"/>
          <w:sz w:val="22"/>
          <w:szCs w:val="22"/>
        </w:rPr>
      </w:pPr>
    </w:p>
    <w:p w:rsidR="000C3DDE" w:rsidRDefault="000C3DDE" w:rsidP="000C3DDE">
      <w:pPr>
        <w:rPr>
          <w:rFonts w:ascii="Calibri" w:eastAsia="Calibri" w:hAnsi="Calibri" w:cs="Calibri"/>
          <w:color w:val="000000"/>
          <w:sz w:val="22"/>
          <w:szCs w:val="22"/>
        </w:rPr>
      </w:pPr>
    </w:p>
    <w:p w:rsidR="00A72FCF" w:rsidRDefault="00A72FCF"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0113E6" w:rsidRDefault="000113E6" w:rsidP="000C3DDE">
      <w:pPr>
        <w:rPr>
          <w:rFonts w:ascii="Calibri" w:eastAsia="Calibri" w:hAnsi="Calibri" w:cs="Calibri"/>
          <w:color w:val="000000"/>
          <w:sz w:val="22"/>
          <w:szCs w:val="22"/>
        </w:rPr>
      </w:pPr>
    </w:p>
    <w:p w:rsidR="00A72FCF" w:rsidRPr="000C3DDE" w:rsidRDefault="00A72FCF" w:rsidP="000C3DDE">
      <w:pPr>
        <w:rPr>
          <w:rFonts w:ascii="Calibri" w:eastAsia="Calibri" w:hAnsi="Calibri" w:cs="Calibri"/>
          <w:color w:val="000000"/>
          <w:sz w:val="22"/>
          <w:szCs w:val="22"/>
        </w:rPr>
      </w:pPr>
    </w:p>
    <w:p w:rsidR="00C361AA" w:rsidRDefault="00C361AA" w:rsidP="00A31762">
      <w:pPr>
        <w:pStyle w:val="ListParagraph"/>
        <w:rPr>
          <w:rFonts w:ascii="Calibri" w:eastAsia="Calibri" w:hAnsi="Calibri" w:cs="Calibri"/>
          <w:color w:val="000000"/>
          <w:sz w:val="22"/>
          <w:szCs w:val="22"/>
        </w:rPr>
      </w:pPr>
    </w:p>
    <w:p w:rsidR="00C361AA" w:rsidRDefault="00C361AA" w:rsidP="00A31762">
      <w:pPr>
        <w:pStyle w:val="ListParagraph"/>
        <w:rPr>
          <w:rFonts w:ascii="Calibri" w:eastAsia="Calibri" w:hAnsi="Calibri" w:cs="Calibri"/>
          <w:color w:val="000000"/>
          <w:sz w:val="22"/>
          <w:szCs w:val="22"/>
        </w:rPr>
      </w:pPr>
    </w:p>
    <w:p w:rsidR="006678E8" w:rsidRDefault="006678E8" w:rsidP="00A31762">
      <w:pPr>
        <w:pStyle w:val="ListParagraph"/>
        <w:rPr>
          <w:rFonts w:ascii="Calibri" w:eastAsia="Calibri" w:hAnsi="Calibri" w:cs="Calibri"/>
          <w:color w:val="000000"/>
          <w:sz w:val="22"/>
          <w:szCs w:val="22"/>
        </w:rPr>
      </w:pPr>
    </w:p>
    <w:p w:rsidR="00280EB5" w:rsidRDefault="00280EB5" w:rsidP="006678E8">
      <w:pPr>
        <w:pStyle w:val="ListParagraph"/>
        <w:ind w:left="0"/>
        <w:rPr>
          <w:rFonts w:ascii="Calibri" w:eastAsia="Calibri" w:hAnsi="Calibri" w:cs="Calibri"/>
          <w:color w:val="000000"/>
          <w:sz w:val="22"/>
          <w:szCs w:val="22"/>
        </w:rPr>
      </w:pPr>
    </w:p>
    <w:p w:rsidR="00C03780" w:rsidRDefault="00280EB5" w:rsidP="006678E8">
      <w:pPr>
        <w:pStyle w:val="ListParagraph"/>
        <w:ind w:left="0"/>
        <w:rPr>
          <w:rFonts w:ascii="Calibri" w:eastAsia="Calibri" w:hAnsi="Calibri" w:cs="Calibri"/>
          <w:b/>
          <w:color w:val="000000"/>
          <w:sz w:val="32"/>
          <w:szCs w:val="32"/>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29920" behindDoc="0" locked="0" layoutInCell="1" allowOverlap="1" wp14:anchorId="71E7471D" wp14:editId="50A01E31">
                <wp:simplePos x="0" y="0"/>
                <wp:positionH relativeFrom="column">
                  <wp:posOffset>4180114</wp:posOffset>
                </wp:positionH>
                <wp:positionV relativeFrom="paragraph">
                  <wp:posOffset>-548640</wp:posOffset>
                </wp:positionV>
                <wp:extent cx="1723209" cy="352697"/>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23209" cy="3526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CFF" w:rsidRPr="00280EB5" w:rsidRDefault="000D3CFF" w:rsidP="00280EB5">
                            <w:pPr>
                              <w:jc w:val="right"/>
                              <w:rPr>
                                <w:b/>
                                <w:color w:val="595959" w:themeColor="text1" w:themeTint="A6"/>
                              </w:rPr>
                            </w:pPr>
                            <w:r w:rsidRPr="00280EB5">
                              <w:rPr>
                                <w:b/>
                                <w:color w:val="595959" w:themeColor="text1" w:themeTint="A6"/>
                              </w:rPr>
                              <w:t>Oxford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29.15pt;margin-top:-43.2pt;width:135.7pt;height:27.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" fillcolor="white [3212]" stroked="f" strokeweight=".5pt">
                <v:textbox>
                  <w:txbxContent>
                    <w:p w:rsidR="000D3CFF" w:rsidRPr="00280EB5" w:rsidRDefault="000D3CFF" w:rsidP="00280EB5">
                      <w:pPr>
                        <w:jc w:val="right"/>
                        <w:rPr>
                          <w:b/>
                          <w:color w:val="595959" w:themeColor="text1" w:themeTint="A6"/>
                        </w:rPr>
                      </w:pPr>
                      <w:r w:rsidRPr="00280EB5">
                        <w:rPr>
                          <w:b/>
                          <w:color w:val="595959" w:themeColor="text1" w:themeTint="A6"/>
                        </w:rPr>
                        <w:t>Oxford Snapshot</w:t>
                      </w:r>
                    </w:p>
                  </w:txbxContent>
                </v:textbox>
              </v:shape>
            </w:pict>
          </mc:Fallback>
        </mc:AlternateContent>
      </w:r>
      <w:r w:rsidR="006678E8">
        <w:rPr>
          <w:rFonts w:ascii="Calibri" w:eastAsia="Calibri" w:hAnsi="Calibri" w:cs="Calibri"/>
          <w:b/>
          <w:color w:val="000000"/>
          <w:sz w:val="32"/>
          <w:szCs w:val="32"/>
        </w:rPr>
        <w:t>Oxford Snapsho</w:t>
      </w:r>
      <w:r w:rsidR="00721AAD">
        <w:rPr>
          <w:rFonts w:ascii="Calibri" w:eastAsia="Calibri" w:hAnsi="Calibri" w:cs="Calibri"/>
          <w:b/>
          <w:color w:val="000000"/>
          <w:sz w:val="32"/>
          <w:szCs w:val="32"/>
        </w:rPr>
        <w:t>t</w:t>
      </w:r>
      <w:r w:rsidR="00996179">
        <w:rPr>
          <w:rFonts w:ascii="Calibri" w:eastAsia="Calibri" w:hAnsi="Calibri" w:cs="Calibri"/>
          <w:b/>
          <w:color w:val="000000"/>
          <w:sz w:val="32"/>
          <w:szCs w:val="32"/>
        </w:rPr>
        <w:t xml:space="preserve"> 2013/14</w:t>
      </w:r>
    </w:p>
    <w:p w:rsidR="006678E8" w:rsidRPr="00721AAD" w:rsidRDefault="006678E8" w:rsidP="006678E8">
      <w:pPr>
        <w:pStyle w:val="ListParagraph"/>
        <w:ind w:left="0"/>
        <w:rPr>
          <w:rFonts w:ascii="Calibri" w:eastAsia="Calibri" w:hAnsi="Calibri" w:cs="Calibri"/>
          <w:b/>
          <w:color w:val="000000"/>
          <w:sz w:val="8"/>
          <w:szCs w:val="32"/>
        </w:rPr>
      </w:pPr>
    </w:p>
    <w:tbl>
      <w:tblPr>
        <w:tblStyle w:val="TableGrid"/>
        <w:tblW w:w="0" w:type="auto"/>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3510"/>
        <w:gridCol w:w="5732"/>
      </w:tblGrid>
      <w:tr w:rsidR="00080674" w:rsidTr="00080674">
        <w:tc>
          <w:tcPr>
            <w:tcW w:w="9242" w:type="dxa"/>
            <w:gridSpan w:val="2"/>
            <w:tcBorders>
              <w:bottom w:val="single" w:sz="4" w:space="0" w:color="D9D9D9" w:themeColor="background1" w:themeShade="D9"/>
            </w:tcBorders>
            <w:shd w:val="clear" w:color="auto" w:fill="31849B" w:themeFill="accent5" w:themeFillShade="BF"/>
          </w:tcPr>
          <w:p w:rsidR="00080674" w:rsidRPr="006D1F26" w:rsidRDefault="00080674" w:rsidP="00C03780">
            <w:pPr>
              <w:shd w:val="clear" w:color="auto" w:fill="31849B" w:themeFill="accent5" w:themeFillShade="BF"/>
              <w:rPr>
                <w:rFonts w:ascii="Calibri" w:eastAsia="Calibri" w:hAnsi="Calibri" w:cs="Calibri"/>
                <w:b/>
                <w:noProof/>
                <w:color w:val="FFFFFF" w:themeColor="background1"/>
                <w:lang w:eastAsia="en-GB"/>
              </w:rPr>
            </w:pPr>
            <w:r w:rsidRPr="006D1F26">
              <w:rPr>
                <w:rFonts w:ascii="Calibri" w:eastAsia="Calibri" w:hAnsi="Calibri" w:cs="Calibri"/>
                <w:b/>
                <w:noProof/>
                <w:color w:val="FFFFFF" w:themeColor="background1"/>
                <w:lang w:eastAsia="en-GB"/>
              </w:rPr>
              <w:t>Key Figures</w:t>
            </w:r>
          </w:p>
        </w:tc>
      </w:tr>
      <w:tr w:rsidR="00080674"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080674" w:rsidRPr="00702F73" w:rsidRDefault="00996179"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Total a</w:t>
            </w:r>
            <w:r w:rsidR="00080674" w:rsidRPr="00702F73">
              <w:rPr>
                <w:rFonts w:ascii="Calibri" w:eastAsia="Calibri" w:hAnsi="Calibri" w:cs="Calibri"/>
                <w:noProof/>
                <w:color w:val="000000"/>
                <w:sz w:val="22"/>
                <w:szCs w:val="22"/>
                <w:lang w:eastAsia="en-GB"/>
              </w:rPr>
              <w:t>rea</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080674" w:rsidRDefault="00080674" w:rsidP="00080674">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17.6 square miles  / </w:t>
            </w:r>
            <w:r w:rsidRPr="00C03780">
              <w:rPr>
                <w:rFonts w:ascii="Calibri" w:eastAsia="Calibri" w:hAnsi="Calibri" w:cs="Calibri"/>
                <w:noProof/>
                <w:color w:val="000000"/>
                <w:sz w:val="22"/>
                <w:szCs w:val="22"/>
                <w:lang w:eastAsia="en-GB"/>
              </w:rPr>
              <w:t>46 sq km</w:t>
            </w:r>
          </w:p>
        </w:tc>
      </w:tr>
      <w:tr w:rsidR="00996179"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996179" w:rsidRPr="00702F73" w:rsidRDefault="00996179"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Green belt </w:t>
            </w:r>
            <w:r w:rsidRPr="00996179">
              <w:rPr>
                <w:rFonts w:ascii="Calibri" w:eastAsia="Calibri" w:hAnsi="Calibri" w:cs="Calibri"/>
                <w:noProof/>
                <w:color w:val="000000"/>
                <w:sz w:val="20"/>
                <w:szCs w:val="22"/>
                <w:lang w:eastAsia="en-GB"/>
              </w:rPr>
              <w:t>(% of total area)</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996179" w:rsidRDefault="00996179" w:rsidP="00996179">
            <w:pPr>
              <w:rPr>
                <w:rFonts w:ascii="Calibri" w:eastAsia="Calibri" w:hAnsi="Calibri" w:cs="Calibri"/>
                <w:noProof/>
                <w:color w:val="000000"/>
                <w:sz w:val="22"/>
                <w:szCs w:val="22"/>
                <w:lang w:eastAsia="en-GB"/>
              </w:rPr>
            </w:pPr>
            <w:r w:rsidRPr="00996179">
              <w:rPr>
                <w:rFonts w:ascii="Calibri" w:eastAsia="Calibri" w:hAnsi="Calibri" w:cs="Calibri"/>
                <w:noProof/>
                <w:color w:val="000000"/>
                <w:sz w:val="22"/>
                <w:szCs w:val="22"/>
                <w:lang w:eastAsia="en-GB"/>
              </w:rPr>
              <w:t xml:space="preserve">27% </w:t>
            </w:r>
          </w:p>
        </w:tc>
      </w:tr>
      <w:tr w:rsidR="00080674"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080674" w:rsidRPr="00702F73" w:rsidRDefault="00996179"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Listed b</w:t>
            </w:r>
            <w:r w:rsidR="00080674" w:rsidRPr="00702F73">
              <w:rPr>
                <w:rFonts w:ascii="Calibri" w:eastAsia="Calibri" w:hAnsi="Calibri" w:cs="Calibri"/>
                <w:noProof/>
                <w:color w:val="000000"/>
                <w:sz w:val="22"/>
                <w:szCs w:val="22"/>
                <w:lang w:eastAsia="en-GB"/>
              </w:rPr>
              <w:t>uildings</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080674" w:rsidRPr="006D1F26" w:rsidRDefault="00080674" w:rsidP="00080674">
            <w:pPr>
              <w:rPr>
                <w:rFonts w:ascii="Calibri" w:eastAsia="Calibri" w:hAnsi="Calibri" w:cs="Calibri"/>
                <w:noProof/>
                <w:color w:val="000000"/>
                <w:sz w:val="22"/>
                <w:szCs w:val="22"/>
                <w:lang w:eastAsia="en-GB"/>
              </w:rPr>
            </w:pPr>
            <w:r w:rsidRPr="00033436">
              <w:rPr>
                <w:rFonts w:ascii="Calibri" w:eastAsia="Calibri" w:hAnsi="Calibri" w:cs="Calibri"/>
                <w:noProof/>
                <w:color w:val="000000"/>
                <w:sz w:val="22"/>
                <w:szCs w:val="22"/>
                <w:lang w:eastAsia="en-GB"/>
              </w:rPr>
              <w:t>Over 1,600</w:t>
            </w:r>
          </w:p>
        </w:tc>
      </w:tr>
      <w:tr w:rsidR="00080674"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080674" w:rsidRPr="00702F73" w:rsidRDefault="00996179"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Conservation ar</w:t>
            </w:r>
            <w:r w:rsidR="00080674" w:rsidRPr="00702F73">
              <w:rPr>
                <w:rFonts w:ascii="Calibri" w:eastAsia="Calibri" w:hAnsi="Calibri" w:cs="Calibri"/>
                <w:noProof/>
                <w:color w:val="000000"/>
                <w:sz w:val="22"/>
                <w:szCs w:val="22"/>
                <w:lang w:eastAsia="en-GB"/>
              </w:rPr>
              <w:t>eas</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080674" w:rsidRDefault="00080674" w:rsidP="00080674">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18</w:t>
            </w:r>
          </w:p>
        </w:tc>
      </w:tr>
      <w:tr w:rsidR="00143A70"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143A70" w:rsidRDefault="00143A70"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Sites of special scientific interest</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143A70" w:rsidRDefault="00033436" w:rsidP="00080674">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12</w:t>
            </w:r>
          </w:p>
        </w:tc>
      </w:tr>
      <w:tr w:rsidR="00996179"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996179" w:rsidRPr="00702F73" w:rsidRDefault="00996179"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Tree preservation orders</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996179" w:rsidRDefault="00033436" w:rsidP="00A72FCF">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227 </w:t>
            </w:r>
            <w:r w:rsidR="00A72FCF">
              <w:rPr>
                <w:rFonts w:ascii="Calibri" w:eastAsia="Calibri" w:hAnsi="Calibri" w:cs="Calibri"/>
                <w:noProof/>
                <w:color w:val="000000"/>
                <w:sz w:val="22"/>
                <w:szCs w:val="22"/>
                <w:lang w:eastAsia="en-GB"/>
              </w:rPr>
              <w:t xml:space="preserve">TPOs </w:t>
            </w:r>
            <w:r>
              <w:rPr>
                <w:rFonts w:ascii="Calibri" w:eastAsia="Calibri" w:hAnsi="Calibri" w:cs="Calibri"/>
                <w:noProof/>
                <w:color w:val="000000"/>
                <w:sz w:val="22"/>
                <w:szCs w:val="22"/>
                <w:lang w:eastAsia="en-GB"/>
              </w:rPr>
              <w:t>made since 1982</w:t>
            </w:r>
          </w:p>
        </w:tc>
      </w:tr>
      <w:tr w:rsidR="00996179" w:rsidTr="001D392D">
        <w:trPr>
          <w:trHeight w:val="161"/>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6DDE8" w:themeFill="accent5" w:themeFillTint="66"/>
          </w:tcPr>
          <w:p w:rsidR="00996179" w:rsidRDefault="00A72FCF"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Planning applications r</w:t>
            </w:r>
            <w:r w:rsidR="00996179">
              <w:rPr>
                <w:rFonts w:ascii="Calibri" w:eastAsia="Calibri" w:hAnsi="Calibri" w:cs="Calibri"/>
                <w:noProof/>
                <w:color w:val="000000"/>
                <w:sz w:val="22"/>
                <w:szCs w:val="22"/>
                <w:lang w:eastAsia="en-GB"/>
              </w:rPr>
              <w:t>ecieved</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AEEF3" w:themeFill="accent5" w:themeFillTint="33"/>
          </w:tcPr>
          <w:p w:rsidR="00996179" w:rsidRDefault="00D67594" w:rsidP="00D67594">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3</w:t>
            </w:r>
            <w:r w:rsidR="000113E6">
              <w:rPr>
                <w:rFonts w:ascii="Calibri" w:eastAsia="Calibri" w:hAnsi="Calibri" w:cs="Calibri"/>
                <w:noProof/>
                <w:color w:val="000000"/>
                <w:sz w:val="22"/>
                <w:szCs w:val="22"/>
                <w:lang w:eastAsia="en-GB"/>
              </w:rPr>
              <w:t>,</w:t>
            </w:r>
            <w:r>
              <w:rPr>
                <w:rFonts w:ascii="Calibri" w:eastAsia="Calibri" w:hAnsi="Calibri" w:cs="Calibri"/>
                <w:noProof/>
                <w:color w:val="000000"/>
                <w:sz w:val="22"/>
                <w:szCs w:val="22"/>
                <w:lang w:eastAsia="en-GB"/>
              </w:rPr>
              <w:t xml:space="preserve">726 </w:t>
            </w:r>
            <w:r w:rsidRPr="00D67594">
              <w:rPr>
                <w:rFonts w:ascii="Calibri" w:eastAsia="Calibri" w:hAnsi="Calibri" w:cs="Calibri"/>
                <w:noProof/>
                <w:color w:val="000000"/>
                <w:sz w:val="20"/>
                <w:szCs w:val="22"/>
                <w:lang w:eastAsia="en-GB"/>
              </w:rPr>
              <w:t>(all application types)</w:t>
            </w:r>
          </w:p>
        </w:tc>
      </w:tr>
    </w:tbl>
    <w:p w:rsidR="00C361AA" w:rsidRPr="00721AAD" w:rsidRDefault="00C361AA">
      <w:pPr>
        <w:rPr>
          <w:sz w:val="12"/>
          <w:szCs w:val="12"/>
        </w:rPr>
      </w:pPr>
    </w:p>
    <w:tbl>
      <w:tblPr>
        <w:tblStyle w:val="TableGrid"/>
        <w:tblW w:w="0" w:type="auto"/>
        <w:tblLook w:val="04A0" w:firstRow="1" w:lastRow="0" w:firstColumn="1" w:lastColumn="0" w:noHBand="0" w:noVBand="1"/>
      </w:tblPr>
      <w:tblGrid>
        <w:gridCol w:w="3510"/>
        <w:gridCol w:w="5732"/>
      </w:tblGrid>
      <w:tr w:rsidR="004B0B82" w:rsidTr="00080674">
        <w:tc>
          <w:tcPr>
            <w:tcW w:w="9242" w:type="dxa"/>
            <w:gridSpan w:val="2"/>
            <w:tcBorders>
              <w:top w:val="nil"/>
              <w:left w:val="nil"/>
              <w:bottom w:val="nil"/>
              <w:right w:val="nil"/>
            </w:tcBorders>
            <w:shd w:val="clear" w:color="auto" w:fill="5F497A" w:themeFill="accent4" w:themeFillShade="BF"/>
          </w:tcPr>
          <w:p w:rsidR="004B0B82" w:rsidRPr="00E06F63" w:rsidRDefault="004B0B82" w:rsidP="001D392D">
            <w:pPr>
              <w:rPr>
                <w:rFonts w:ascii="Calibri" w:eastAsia="Calibri" w:hAnsi="Calibri" w:cs="Calibri"/>
                <w:b/>
                <w:noProof/>
                <w:color w:val="000000"/>
                <w:sz w:val="28"/>
                <w:szCs w:val="28"/>
                <w:lang w:eastAsia="en-GB"/>
              </w:rPr>
            </w:pPr>
            <w:r w:rsidRPr="006D1F26">
              <w:rPr>
                <w:rFonts w:ascii="Calibri" w:eastAsia="Calibri" w:hAnsi="Calibri" w:cs="Calibri"/>
                <w:b/>
                <w:noProof/>
                <w:color w:val="FFFFFF" w:themeColor="background1"/>
                <w:szCs w:val="28"/>
                <w:lang w:eastAsia="en-GB"/>
              </w:rPr>
              <w:t>Population</w:t>
            </w:r>
            <w:r w:rsidR="00E06F63" w:rsidRPr="006D1F26">
              <w:rPr>
                <w:rFonts w:ascii="Calibri" w:eastAsia="Calibri" w:hAnsi="Calibri" w:cs="Calibri"/>
                <w:b/>
                <w:noProof/>
                <w:color w:val="FFFFFF" w:themeColor="background1"/>
                <w:szCs w:val="28"/>
                <w:lang w:eastAsia="en-GB"/>
              </w:rPr>
              <w:t xml:space="preserve">       </w:t>
            </w:r>
            <w:r w:rsidR="00E06F63">
              <w:rPr>
                <w:rFonts w:ascii="Calibri" w:eastAsia="Calibri" w:hAnsi="Calibri" w:cs="Calibri"/>
                <w:b/>
                <w:noProof/>
                <w:color w:val="FFFFFF" w:themeColor="background1"/>
                <w:sz w:val="28"/>
                <w:szCs w:val="28"/>
                <w:lang w:eastAsia="en-GB"/>
              </w:rPr>
              <w:t xml:space="preserve">                                                                                   </w:t>
            </w:r>
            <w:r w:rsidR="00E06F63" w:rsidRPr="00E06F63">
              <w:rPr>
                <w:rFonts w:ascii="Calibri" w:eastAsia="Calibri" w:hAnsi="Calibri" w:cs="Calibri"/>
                <w:b/>
                <w:noProof/>
                <w:color w:val="FFFFFF" w:themeColor="background1"/>
                <w:sz w:val="20"/>
                <w:szCs w:val="20"/>
                <w:lang w:eastAsia="en-GB"/>
              </w:rPr>
              <w:t xml:space="preserve">  </w:t>
            </w:r>
            <w:r w:rsidR="00E06F63">
              <w:rPr>
                <w:rFonts w:ascii="Calibri" w:eastAsia="Calibri" w:hAnsi="Calibri" w:cs="Calibri"/>
                <w:b/>
                <w:noProof/>
                <w:color w:val="FFFFFF" w:themeColor="background1"/>
                <w:sz w:val="20"/>
                <w:szCs w:val="20"/>
                <w:lang w:eastAsia="en-GB"/>
              </w:rPr>
              <w:t xml:space="preserve">     </w:t>
            </w:r>
            <w:r w:rsidR="008F65CF">
              <w:rPr>
                <w:rFonts w:ascii="Calibri" w:eastAsia="Calibri" w:hAnsi="Calibri" w:cs="Calibri"/>
                <w:b/>
                <w:noProof/>
                <w:color w:val="FFFFFF" w:themeColor="background1"/>
                <w:sz w:val="20"/>
                <w:szCs w:val="20"/>
                <w:lang w:eastAsia="en-GB"/>
              </w:rPr>
              <w:t xml:space="preserve">     </w:t>
            </w:r>
            <w:r w:rsidR="00E06F63">
              <w:rPr>
                <w:rFonts w:ascii="Calibri" w:eastAsia="Calibri" w:hAnsi="Calibri" w:cs="Calibri"/>
                <w:b/>
                <w:noProof/>
                <w:color w:val="FFFFFF" w:themeColor="background1"/>
                <w:sz w:val="20"/>
                <w:szCs w:val="20"/>
                <w:lang w:eastAsia="en-GB"/>
              </w:rPr>
              <w:t xml:space="preserve"> </w:t>
            </w:r>
            <w:r w:rsidR="00E06F63" w:rsidRPr="00E06F63">
              <w:rPr>
                <w:rFonts w:ascii="Calibri" w:eastAsia="Calibri" w:hAnsi="Calibri" w:cs="Calibri"/>
                <w:b/>
                <w:noProof/>
                <w:color w:val="FFFFFF" w:themeColor="background1"/>
                <w:sz w:val="20"/>
                <w:szCs w:val="20"/>
                <w:lang w:eastAsia="en-GB"/>
              </w:rPr>
              <w:t xml:space="preserve">   </w:t>
            </w:r>
            <w:r w:rsidR="00581165">
              <w:rPr>
                <w:rFonts w:ascii="Calibri" w:eastAsia="Calibri" w:hAnsi="Calibri" w:cs="Calibri"/>
                <w:b/>
                <w:noProof/>
                <w:color w:val="FFFFFF" w:themeColor="background1"/>
                <w:sz w:val="20"/>
                <w:szCs w:val="20"/>
                <w:lang w:eastAsia="en-GB"/>
              </w:rPr>
              <w:t xml:space="preserve">    </w:t>
            </w:r>
          </w:p>
        </w:tc>
      </w:tr>
      <w:tr w:rsidR="004B0B82" w:rsidTr="001D392D">
        <w:tc>
          <w:tcPr>
            <w:tcW w:w="3510" w:type="dxa"/>
            <w:tcBorders>
              <w:top w:val="nil"/>
              <w:left w:val="nil"/>
              <w:bottom w:val="single" w:sz="4" w:space="0" w:color="D9D9D9" w:themeColor="background1" w:themeShade="D9"/>
              <w:right w:val="single" w:sz="4" w:space="0" w:color="D9D9D9" w:themeColor="background1" w:themeShade="D9"/>
            </w:tcBorders>
            <w:shd w:val="clear" w:color="auto" w:fill="CCC0D9" w:themeFill="accent4" w:themeFillTint="66"/>
          </w:tcPr>
          <w:p w:rsidR="004B0B82" w:rsidRPr="00702F73" w:rsidRDefault="00624E91" w:rsidP="00A31762">
            <w:pPr>
              <w:rPr>
                <w:rFonts w:ascii="Calibri" w:eastAsia="Calibri" w:hAnsi="Calibri" w:cs="Calibri"/>
                <w:noProof/>
                <w:color w:val="000000"/>
                <w:sz w:val="22"/>
                <w:szCs w:val="22"/>
                <w:lang w:eastAsia="en-GB"/>
              </w:rPr>
            </w:pPr>
            <w:r w:rsidRPr="00702F73">
              <w:rPr>
                <w:rFonts w:ascii="Calibri" w:eastAsia="Calibri" w:hAnsi="Calibri" w:cs="Calibri"/>
                <w:noProof/>
                <w:color w:val="000000"/>
                <w:sz w:val="22"/>
                <w:szCs w:val="22"/>
                <w:lang w:eastAsia="en-GB"/>
              </w:rPr>
              <w:t xml:space="preserve">Total population </w:t>
            </w:r>
          </w:p>
        </w:tc>
        <w:tc>
          <w:tcPr>
            <w:tcW w:w="5732" w:type="dxa"/>
            <w:tcBorders>
              <w:top w:val="nil"/>
              <w:left w:val="single" w:sz="4" w:space="0" w:color="D9D9D9" w:themeColor="background1" w:themeShade="D9"/>
              <w:bottom w:val="single" w:sz="4" w:space="0" w:color="D9D9D9" w:themeColor="background1" w:themeShade="D9"/>
              <w:right w:val="nil"/>
            </w:tcBorders>
            <w:shd w:val="clear" w:color="auto" w:fill="E5DFEC" w:themeFill="accent4" w:themeFillTint="33"/>
          </w:tcPr>
          <w:p w:rsidR="004B0B82" w:rsidRDefault="004B0B82" w:rsidP="00E65726">
            <w:pPr>
              <w:ind w:left="175"/>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151,900</w:t>
            </w:r>
            <w:r w:rsidR="001D392D" w:rsidRPr="001D392D">
              <w:rPr>
                <w:rFonts w:ascii="Calibri" w:eastAsia="Calibri" w:hAnsi="Calibri" w:cs="Calibri"/>
                <w:noProof/>
                <w:color w:val="000000"/>
                <w:sz w:val="22"/>
                <w:szCs w:val="22"/>
                <w:vertAlign w:val="superscript"/>
                <w:lang w:eastAsia="en-GB"/>
              </w:rPr>
              <w:t>1</w:t>
            </w:r>
            <w:r w:rsidR="00624E91">
              <w:rPr>
                <w:rFonts w:ascii="Calibri" w:eastAsia="Calibri" w:hAnsi="Calibri" w:cs="Calibri"/>
                <w:noProof/>
                <w:color w:val="000000"/>
                <w:sz w:val="22"/>
                <w:szCs w:val="22"/>
                <w:lang w:eastAsia="en-GB"/>
              </w:rPr>
              <w:t xml:space="preserve"> </w:t>
            </w:r>
          </w:p>
        </w:tc>
      </w:tr>
      <w:tr w:rsidR="008672C3" w:rsidTr="001D392D">
        <w:tc>
          <w:tcPr>
            <w:tcW w:w="35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CCC0D9" w:themeFill="accent4" w:themeFillTint="66"/>
          </w:tcPr>
          <w:p w:rsidR="008672C3" w:rsidRPr="00702F73" w:rsidRDefault="008672C3"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Annual population turnover</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E5DFEC" w:themeFill="accent4" w:themeFillTint="33"/>
          </w:tcPr>
          <w:p w:rsidR="008672C3" w:rsidRDefault="008672C3" w:rsidP="00E65726">
            <w:pPr>
              <w:ind w:left="175"/>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25%</w:t>
            </w:r>
            <w:r w:rsidR="001D392D" w:rsidRPr="001D392D">
              <w:rPr>
                <w:rFonts w:ascii="Calibri" w:eastAsia="Calibri" w:hAnsi="Calibri" w:cs="Calibri"/>
                <w:noProof/>
                <w:color w:val="000000"/>
                <w:sz w:val="22"/>
                <w:szCs w:val="22"/>
                <w:vertAlign w:val="superscript"/>
                <w:lang w:eastAsia="en-GB"/>
              </w:rPr>
              <w:t>1</w:t>
            </w:r>
          </w:p>
        </w:tc>
      </w:tr>
      <w:tr w:rsidR="000B7226" w:rsidTr="001D392D">
        <w:tc>
          <w:tcPr>
            <w:tcW w:w="35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CCC0D9" w:themeFill="accent4" w:themeFillTint="66"/>
          </w:tcPr>
          <w:p w:rsidR="000B7226" w:rsidRPr="00702F73" w:rsidRDefault="000B7226" w:rsidP="00A31762">
            <w:pPr>
              <w:rPr>
                <w:rFonts w:ascii="Calibri" w:eastAsia="Calibri" w:hAnsi="Calibri" w:cs="Calibri"/>
                <w:noProof/>
                <w:color w:val="000000"/>
                <w:sz w:val="22"/>
                <w:szCs w:val="22"/>
                <w:lang w:eastAsia="en-GB"/>
              </w:rPr>
            </w:pPr>
            <w:r w:rsidRPr="00702F73">
              <w:rPr>
                <w:rFonts w:ascii="Calibri" w:eastAsia="Calibri" w:hAnsi="Calibri" w:cs="Calibri"/>
                <w:noProof/>
                <w:color w:val="000000"/>
                <w:sz w:val="22"/>
                <w:szCs w:val="22"/>
                <w:lang w:eastAsia="en-GB"/>
              </w:rPr>
              <w:t>St</w:t>
            </w:r>
            <w:r w:rsidR="00702F73" w:rsidRPr="00702F73">
              <w:rPr>
                <w:rFonts w:ascii="Calibri" w:eastAsia="Calibri" w:hAnsi="Calibri" w:cs="Calibri"/>
                <w:noProof/>
                <w:color w:val="000000"/>
                <w:sz w:val="22"/>
                <w:szCs w:val="22"/>
                <w:lang w:eastAsia="en-GB"/>
              </w:rPr>
              <w:t>udents as % of adult population</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E5DFEC" w:themeFill="accent4" w:themeFillTint="33"/>
          </w:tcPr>
          <w:p w:rsidR="007020ED" w:rsidRDefault="000B7226" w:rsidP="00E65726">
            <w:pPr>
              <w:ind w:left="175"/>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24%</w:t>
            </w:r>
            <w:r w:rsidR="001D392D" w:rsidRPr="001D392D">
              <w:rPr>
                <w:rFonts w:ascii="Calibri" w:eastAsia="Calibri" w:hAnsi="Calibri" w:cs="Calibri"/>
                <w:noProof/>
                <w:color w:val="000000"/>
                <w:sz w:val="22"/>
                <w:szCs w:val="22"/>
                <w:vertAlign w:val="superscript"/>
                <w:lang w:eastAsia="en-GB"/>
              </w:rPr>
              <w:t>1</w:t>
            </w:r>
            <w:r>
              <w:rPr>
                <w:rFonts w:ascii="Calibri" w:eastAsia="Calibri" w:hAnsi="Calibri" w:cs="Calibri"/>
                <w:noProof/>
                <w:color w:val="000000"/>
                <w:sz w:val="22"/>
                <w:szCs w:val="22"/>
                <w:lang w:eastAsia="en-GB"/>
              </w:rPr>
              <w:t xml:space="preserve"> </w:t>
            </w:r>
            <w:r w:rsidR="00E65726">
              <w:rPr>
                <w:rFonts w:ascii="Calibri" w:eastAsia="Calibri" w:hAnsi="Calibri" w:cs="Calibri"/>
                <w:noProof/>
                <w:color w:val="000000"/>
                <w:sz w:val="22"/>
                <w:szCs w:val="22"/>
                <w:lang w:eastAsia="en-GB"/>
              </w:rPr>
              <w:t xml:space="preserve"> </w:t>
            </w:r>
            <w:r>
              <w:rPr>
                <w:rFonts w:ascii="Calibri" w:eastAsia="Calibri" w:hAnsi="Calibri" w:cs="Calibri"/>
                <w:noProof/>
                <w:color w:val="000000"/>
                <w:sz w:val="22"/>
                <w:szCs w:val="22"/>
                <w:lang w:eastAsia="en-GB"/>
              </w:rPr>
              <w:t xml:space="preserve"> </w:t>
            </w:r>
            <w:r w:rsidRPr="00E65726">
              <w:rPr>
                <w:rFonts w:ascii="Calibri" w:eastAsia="Calibri" w:hAnsi="Calibri" w:cs="Calibri"/>
                <w:noProof/>
                <w:color w:val="000000"/>
                <w:sz w:val="20"/>
                <w:szCs w:val="22"/>
                <w:lang w:eastAsia="en-GB"/>
              </w:rPr>
              <w:t>(approximately 32,800 full time university students</w:t>
            </w:r>
            <w:r w:rsidR="001D392D" w:rsidRPr="001D392D">
              <w:rPr>
                <w:rFonts w:ascii="Calibri" w:eastAsia="Calibri" w:hAnsi="Calibri" w:cs="Calibri"/>
                <w:noProof/>
                <w:color w:val="000000"/>
                <w:sz w:val="22"/>
                <w:szCs w:val="22"/>
                <w:vertAlign w:val="superscript"/>
                <w:lang w:eastAsia="en-GB"/>
              </w:rPr>
              <w:t>1</w:t>
            </w:r>
            <w:r w:rsidRPr="00E65726">
              <w:rPr>
                <w:rFonts w:ascii="Calibri" w:eastAsia="Calibri" w:hAnsi="Calibri" w:cs="Calibri"/>
                <w:noProof/>
                <w:color w:val="000000"/>
                <w:sz w:val="20"/>
                <w:szCs w:val="22"/>
                <w:lang w:eastAsia="en-GB"/>
              </w:rPr>
              <w:t>)</w:t>
            </w:r>
            <w:r w:rsidR="001D392D" w:rsidRPr="001D392D">
              <w:rPr>
                <w:rFonts w:ascii="Calibri" w:eastAsia="Calibri" w:hAnsi="Calibri" w:cs="Calibri"/>
                <w:noProof/>
                <w:color w:val="000000"/>
                <w:sz w:val="22"/>
                <w:szCs w:val="22"/>
                <w:vertAlign w:val="superscript"/>
                <w:lang w:eastAsia="en-GB"/>
              </w:rPr>
              <w:t xml:space="preserve"> </w:t>
            </w:r>
          </w:p>
        </w:tc>
      </w:tr>
      <w:tr w:rsidR="000B7226" w:rsidTr="001D392D">
        <w:tc>
          <w:tcPr>
            <w:tcW w:w="35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CCC0D9" w:themeFill="accent4" w:themeFillTint="66"/>
          </w:tcPr>
          <w:p w:rsidR="000B7226" w:rsidRPr="00702F73" w:rsidRDefault="007020ED" w:rsidP="00A31762">
            <w:pPr>
              <w:rPr>
                <w:rFonts w:ascii="Calibri" w:eastAsia="Calibri" w:hAnsi="Calibri" w:cs="Calibri"/>
                <w:noProof/>
                <w:color w:val="000000"/>
                <w:sz w:val="22"/>
                <w:szCs w:val="22"/>
                <w:lang w:eastAsia="en-GB"/>
              </w:rPr>
            </w:pPr>
            <w:r w:rsidRPr="00702F73">
              <w:rPr>
                <w:rFonts w:ascii="Calibri" w:eastAsia="Calibri" w:hAnsi="Calibri" w:cs="Calibri"/>
                <w:noProof/>
                <w:color w:val="000000"/>
                <w:sz w:val="22"/>
                <w:szCs w:val="22"/>
                <w:lang w:eastAsia="en-GB"/>
              </w:rPr>
              <w:t>Non-white Britsh pop</w:t>
            </w:r>
            <w:r w:rsidR="00702F73" w:rsidRPr="00702F73">
              <w:rPr>
                <w:rFonts w:ascii="Calibri" w:eastAsia="Calibri" w:hAnsi="Calibri" w:cs="Calibri"/>
                <w:noProof/>
                <w:color w:val="000000"/>
                <w:sz w:val="22"/>
                <w:szCs w:val="22"/>
                <w:lang w:eastAsia="en-GB"/>
              </w:rPr>
              <w:t>ulation</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E5DFEC" w:themeFill="accent4" w:themeFillTint="33"/>
          </w:tcPr>
          <w:p w:rsidR="000B7226" w:rsidRDefault="007020ED" w:rsidP="00E65726">
            <w:pPr>
              <w:ind w:left="175"/>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28%</w:t>
            </w:r>
            <w:r w:rsidR="001D392D" w:rsidRPr="001D392D">
              <w:rPr>
                <w:rFonts w:ascii="Calibri" w:eastAsia="Calibri" w:hAnsi="Calibri" w:cs="Calibri"/>
                <w:noProof/>
                <w:color w:val="000000"/>
                <w:sz w:val="22"/>
                <w:szCs w:val="22"/>
                <w:vertAlign w:val="superscript"/>
                <w:lang w:eastAsia="en-GB"/>
              </w:rPr>
              <w:t>1</w:t>
            </w:r>
          </w:p>
        </w:tc>
      </w:tr>
      <w:tr w:rsidR="000B7226" w:rsidTr="001D392D">
        <w:tc>
          <w:tcPr>
            <w:tcW w:w="3510" w:type="dxa"/>
            <w:tcBorders>
              <w:top w:val="single" w:sz="4" w:space="0" w:color="D9D9D9" w:themeColor="background1" w:themeShade="D9"/>
              <w:left w:val="nil"/>
              <w:bottom w:val="nil"/>
              <w:right w:val="single" w:sz="4" w:space="0" w:color="D9D9D9" w:themeColor="background1" w:themeShade="D9"/>
            </w:tcBorders>
            <w:shd w:val="clear" w:color="auto" w:fill="CCC0D9" w:themeFill="accent4" w:themeFillTint="66"/>
          </w:tcPr>
          <w:p w:rsidR="000B7226" w:rsidRPr="00702F73" w:rsidRDefault="000B7226" w:rsidP="00143A70">
            <w:pPr>
              <w:rPr>
                <w:rFonts w:ascii="Calibri" w:eastAsia="Calibri" w:hAnsi="Calibri" w:cs="Calibri"/>
                <w:noProof/>
                <w:color w:val="000000"/>
                <w:sz w:val="22"/>
                <w:szCs w:val="22"/>
                <w:lang w:eastAsia="en-GB"/>
              </w:rPr>
            </w:pPr>
            <w:r w:rsidRPr="00702F73">
              <w:rPr>
                <w:rFonts w:ascii="Calibri" w:eastAsia="Calibri" w:hAnsi="Calibri" w:cs="Calibri"/>
                <w:noProof/>
                <w:color w:val="000000"/>
                <w:sz w:val="22"/>
                <w:szCs w:val="22"/>
                <w:lang w:eastAsia="en-GB"/>
              </w:rPr>
              <w:t xml:space="preserve">Population </w:t>
            </w:r>
            <w:r w:rsidR="00143A70">
              <w:rPr>
                <w:rFonts w:ascii="Calibri" w:eastAsia="Calibri" w:hAnsi="Calibri" w:cs="Calibri"/>
                <w:noProof/>
                <w:color w:val="000000"/>
                <w:sz w:val="22"/>
                <w:szCs w:val="22"/>
                <w:lang w:eastAsia="en-GB"/>
              </w:rPr>
              <w:t>changes</w:t>
            </w:r>
            <w:r w:rsidR="00702F73" w:rsidRPr="00702F73">
              <w:rPr>
                <w:rFonts w:ascii="Calibri" w:eastAsia="Calibri" w:hAnsi="Calibri" w:cs="Calibri"/>
                <w:noProof/>
                <w:color w:val="000000"/>
                <w:sz w:val="22"/>
                <w:szCs w:val="22"/>
                <w:lang w:eastAsia="en-GB"/>
              </w:rPr>
              <w:t xml:space="preserve"> over time</w:t>
            </w:r>
          </w:p>
        </w:tc>
        <w:tc>
          <w:tcPr>
            <w:tcW w:w="5732" w:type="dxa"/>
            <w:tcBorders>
              <w:top w:val="single" w:sz="4" w:space="0" w:color="D9D9D9" w:themeColor="background1" w:themeShade="D9"/>
              <w:left w:val="single" w:sz="4" w:space="0" w:color="D9D9D9" w:themeColor="background1" w:themeShade="D9"/>
              <w:bottom w:val="nil"/>
              <w:right w:val="nil"/>
            </w:tcBorders>
            <w:shd w:val="clear" w:color="auto" w:fill="E5DFEC" w:themeFill="accent4" w:themeFillTint="33"/>
          </w:tcPr>
          <w:p w:rsidR="000B7226" w:rsidRPr="000B7226" w:rsidRDefault="000B7226" w:rsidP="00624E91">
            <w:pPr>
              <w:rPr>
                <w:rFonts w:ascii="Calibri" w:eastAsia="Calibri" w:hAnsi="Calibri" w:cs="Calibri"/>
                <w:b/>
                <w:noProof/>
                <w:color w:val="000000"/>
                <w:sz w:val="22"/>
                <w:szCs w:val="22"/>
                <w:lang w:eastAsia="en-GB"/>
              </w:rPr>
            </w:pPr>
          </w:p>
        </w:tc>
      </w:tr>
      <w:tr w:rsidR="004B0B82" w:rsidTr="00080674">
        <w:tc>
          <w:tcPr>
            <w:tcW w:w="9242" w:type="dxa"/>
            <w:gridSpan w:val="2"/>
            <w:tcBorders>
              <w:top w:val="nil"/>
              <w:left w:val="nil"/>
              <w:bottom w:val="nil"/>
              <w:right w:val="nil"/>
            </w:tcBorders>
            <w:shd w:val="clear" w:color="auto" w:fill="E5DFEC" w:themeFill="accent4" w:themeFillTint="33"/>
          </w:tcPr>
          <w:p w:rsidR="00624E91" w:rsidRPr="00143A70" w:rsidRDefault="00624E91" w:rsidP="00A31762">
            <w:pPr>
              <w:rPr>
                <w:rFonts w:ascii="Calibri" w:eastAsia="Calibri" w:hAnsi="Calibri" w:cs="Calibri"/>
                <w:noProof/>
                <w:color w:val="000000"/>
                <w:sz w:val="6"/>
                <w:szCs w:val="6"/>
                <w:lang w:eastAsia="en-GB"/>
              </w:rPr>
            </w:pPr>
          </w:p>
          <w:p w:rsidR="004B0B82" w:rsidRDefault="004B0B82" w:rsidP="00624E91">
            <w:pPr>
              <w:jc w:val="center"/>
              <w:rPr>
                <w:rFonts w:ascii="Calibri" w:eastAsia="Calibri" w:hAnsi="Calibri" w:cs="Calibri"/>
                <w:noProof/>
                <w:color w:val="000000"/>
                <w:sz w:val="22"/>
                <w:szCs w:val="22"/>
                <w:lang w:eastAsia="en-GB"/>
              </w:rPr>
            </w:pPr>
            <w:r w:rsidRPr="00FB3270">
              <w:rPr>
                <w:noProof/>
                <w:shd w:val="clear" w:color="auto" w:fill="CCC0D9" w:themeFill="accent4" w:themeFillTint="66"/>
                <w:lang w:eastAsia="en-GB"/>
              </w:rPr>
              <w:drawing>
                <wp:inline distT="0" distB="0" distL="0" distR="0" wp14:anchorId="29B324FB" wp14:editId="589E693B">
                  <wp:extent cx="4837044" cy="29957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duotone>
                              <a:schemeClr val="accent4">
                                <a:shade val="45000"/>
                                <a:satMod val="135000"/>
                              </a:schemeClr>
                              <a:prstClr val="white"/>
                            </a:duotone>
                          </a:blip>
                          <a:stretch>
                            <a:fillRect/>
                          </a:stretch>
                        </pic:blipFill>
                        <pic:spPr>
                          <a:xfrm>
                            <a:off x="0" y="0"/>
                            <a:ext cx="4849802" cy="3003665"/>
                          </a:xfrm>
                          <a:prstGeom prst="rect">
                            <a:avLst/>
                          </a:prstGeom>
                        </pic:spPr>
                      </pic:pic>
                    </a:graphicData>
                  </a:graphic>
                </wp:inline>
              </w:drawing>
            </w:r>
          </w:p>
          <w:p w:rsidR="00080674" w:rsidRPr="00080674" w:rsidRDefault="00080674" w:rsidP="009936D5">
            <w:pPr>
              <w:rPr>
                <w:rFonts w:ascii="Calibri" w:eastAsia="Calibri" w:hAnsi="Calibri" w:cs="Calibri"/>
                <w:noProof/>
                <w:color w:val="000000"/>
                <w:sz w:val="10"/>
                <w:szCs w:val="10"/>
                <w:lang w:eastAsia="en-GB"/>
              </w:rPr>
            </w:pPr>
          </w:p>
          <w:p w:rsidR="008672C3" w:rsidRDefault="007020ED" w:rsidP="00676BC9">
            <w:pPr>
              <w:ind w:left="426" w:right="379"/>
              <w:jc w:val="both"/>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Oxford</w:t>
            </w:r>
            <w:r w:rsidR="00624E91">
              <w:rPr>
                <w:rFonts w:ascii="Calibri" w:eastAsia="Calibri" w:hAnsi="Calibri" w:cs="Calibri"/>
                <w:noProof/>
                <w:color w:val="000000"/>
                <w:sz w:val="22"/>
                <w:szCs w:val="22"/>
                <w:lang w:eastAsia="en-GB"/>
              </w:rPr>
              <w:t xml:space="preserve"> is currently in the middle of a new and distinct period of rapid po</w:t>
            </w:r>
            <w:r w:rsidR="00F13E30">
              <w:rPr>
                <w:rFonts w:ascii="Calibri" w:eastAsia="Calibri" w:hAnsi="Calibri" w:cs="Calibri"/>
                <w:noProof/>
                <w:color w:val="000000"/>
                <w:sz w:val="22"/>
                <w:szCs w:val="22"/>
                <w:lang w:eastAsia="en-GB"/>
              </w:rPr>
              <w:t>p</w:t>
            </w:r>
            <w:r w:rsidR="00624E91">
              <w:rPr>
                <w:rFonts w:ascii="Calibri" w:eastAsia="Calibri" w:hAnsi="Calibri" w:cs="Calibri"/>
                <w:noProof/>
                <w:color w:val="000000"/>
                <w:sz w:val="22"/>
                <w:szCs w:val="22"/>
                <w:lang w:eastAsia="en-GB"/>
              </w:rPr>
              <w:t>ulation growth, adding around 15,0</w:t>
            </w:r>
            <w:r w:rsidR="001477B5">
              <w:rPr>
                <w:rFonts w:ascii="Calibri" w:eastAsia="Calibri" w:hAnsi="Calibri" w:cs="Calibri"/>
                <w:noProof/>
                <w:color w:val="000000"/>
                <w:sz w:val="22"/>
                <w:szCs w:val="22"/>
                <w:lang w:eastAsia="en-GB"/>
              </w:rPr>
              <w:t>0</w:t>
            </w:r>
            <w:r w:rsidR="00624E91">
              <w:rPr>
                <w:rFonts w:ascii="Calibri" w:eastAsia="Calibri" w:hAnsi="Calibri" w:cs="Calibri"/>
                <w:noProof/>
                <w:color w:val="000000"/>
                <w:sz w:val="22"/>
                <w:szCs w:val="22"/>
                <w:lang w:eastAsia="en-GB"/>
              </w:rPr>
              <w:t xml:space="preserve">0 people per decade. </w:t>
            </w:r>
            <w:r w:rsidR="000B7226">
              <w:rPr>
                <w:rFonts w:ascii="Calibri" w:eastAsia="Calibri" w:hAnsi="Calibri" w:cs="Calibri"/>
                <w:noProof/>
                <w:color w:val="000000"/>
                <w:sz w:val="22"/>
                <w:szCs w:val="22"/>
                <w:lang w:eastAsia="en-GB"/>
              </w:rPr>
              <w:t>Oxford’</w:t>
            </w:r>
            <w:r>
              <w:rPr>
                <w:rFonts w:ascii="Calibri" w:eastAsia="Calibri" w:hAnsi="Calibri" w:cs="Calibri"/>
                <w:noProof/>
                <w:color w:val="000000"/>
                <w:sz w:val="22"/>
                <w:szCs w:val="22"/>
                <w:lang w:eastAsia="en-GB"/>
              </w:rPr>
              <w:t>s population gre</w:t>
            </w:r>
            <w:r w:rsidR="000B7226">
              <w:rPr>
                <w:rFonts w:ascii="Calibri" w:eastAsia="Calibri" w:hAnsi="Calibri" w:cs="Calibri"/>
                <w:noProof/>
                <w:color w:val="000000"/>
                <w:sz w:val="22"/>
                <w:szCs w:val="22"/>
                <w:lang w:eastAsia="en-GB"/>
              </w:rPr>
              <w:t>w by 12% fr</w:t>
            </w:r>
            <w:r w:rsidR="001477B5">
              <w:rPr>
                <w:rFonts w:ascii="Calibri" w:eastAsia="Calibri" w:hAnsi="Calibri" w:cs="Calibri"/>
                <w:noProof/>
                <w:color w:val="000000"/>
                <w:sz w:val="22"/>
                <w:szCs w:val="22"/>
                <w:lang w:eastAsia="en-GB"/>
              </w:rPr>
              <w:t>om 2001-2011, making it the sixth fastest grow</w:t>
            </w:r>
            <w:r w:rsidR="000B7226">
              <w:rPr>
                <w:rFonts w:ascii="Calibri" w:eastAsia="Calibri" w:hAnsi="Calibri" w:cs="Calibri"/>
                <w:noProof/>
                <w:color w:val="000000"/>
                <w:sz w:val="22"/>
                <w:szCs w:val="22"/>
                <w:lang w:eastAsia="en-GB"/>
              </w:rPr>
              <w:t xml:space="preserve">ing English </w:t>
            </w:r>
            <w:r w:rsidR="003161C9">
              <w:rPr>
                <w:rFonts w:ascii="Calibri" w:eastAsia="Calibri" w:hAnsi="Calibri" w:cs="Calibri"/>
                <w:noProof/>
                <w:color w:val="000000"/>
                <w:sz w:val="22"/>
                <w:szCs w:val="22"/>
                <w:lang w:eastAsia="en-GB"/>
              </w:rPr>
              <w:t>city</w:t>
            </w:r>
            <w:r w:rsidR="000B7226">
              <w:rPr>
                <w:rFonts w:ascii="Calibri" w:eastAsia="Calibri" w:hAnsi="Calibri" w:cs="Calibri"/>
                <w:noProof/>
                <w:color w:val="000000"/>
                <w:sz w:val="22"/>
                <w:szCs w:val="22"/>
                <w:lang w:eastAsia="en-GB"/>
              </w:rPr>
              <w:t xml:space="preserve">. </w:t>
            </w:r>
            <w:r w:rsidR="00624E91">
              <w:rPr>
                <w:rFonts w:ascii="Calibri" w:eastAsia="Calibri" w:hAnsi="Calibri" w:cs="Calibri"/>
                <w:noProof/>
                <w:color w:val="000000"/>
                <w:sz w:val="22"/>
                <w:szCs w:val="22"/>
                <w:lang w:eastAsia="en-GB"/>
              </w:rPr>
              <w:t xml:space="preserve">Oxford’s population is projected to increase by another 13,000 </w:t>
            </w:r>
            <w:r w:rsidR="00A72FCF">
              <w:rPr>
                <w:rFonts w:ascii="Calibri" w:eastAsia="Calibri" w:hAnsi="Calibri" w:cs="Calibri"/>
                <w:noProof/>
                <w:color w:val="000000"/>
                <w:sz w:val="22"/>
                <w:szCs w:val="22"/>
                <w:lang w:eastAsia="en-GB"/>
              </w:rPr>
              <w:t xml:space="preserve">people </w:t>
            </w:r>
            <w:r w:rsidR="00624E91">
              <w:rPr>
                <w:rFonts w:ascii="Calibri" w:eastAsia="Calibri" w:hAnsi="Calibri" w:cs="Calibri"/>
                <w:noProof/>
                <w:color w:val="000000"/>
                <w:sz w:val="22"/>
                <w:szCs w:val="22"/>
                <w:lang w:eastAsia="en-GB"/>
              </w:rPr>
              <w:t>by 2021.</w:t>
            </w:r>
          </w:p>
          <w:p w:rsidR="00E65726" w:rsidRPr="00143A70" w:rsidRDefault="00E65726" w:rsidP="008672C3">
            <w:pPr>
              <w:jc w:val="both"/>
              <w:rPr>
                <w:rFonts w:ascii="Calibri" w:eastAsia="Calibri" w:hAnsi="Calibri" w:cs="Calibri"/>
                <w:noProof/>
                <w:color w:val="000000"/>
                <w:sz w:val="6"/>
                <w:szCs w:val="6"/>
                <w:lang w:eastAsia="en-GB"/>
              </w:rPr>
            </w:pPr>
          </w:p>
        </w:tc>
      </w:tr>
    </w:tbl>
    <w:p w:rsidR="00C361AA" w:rsidRPr="00721AAD" w:rsidRDefault="00C361AA">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10"/>
        <w:gridCol w:w="5732"/>
      </w:tblGrid>
      <w:tr w:rsidR="00676BC9" w:rsidRPr="00E112C8" w:rsidTr="00676BC9">
        <w:tc>
          <w:tcPr>
            <w:tcW w:w="9242" w:type="dxa"/>
            <w:gridSpan w:val="2"/>
            <w:tcBorders>
              <w:top w:val="nil"/>
              <w:bottom w:val="nil"/>
            </w:tcBorders>
            <w:shd w:val="clear" w:color="auto" w:fill="943634" w:themeFill="accent2" w:themeFillShade="BF"/>
          </w:tcPr>
          <w:p w:rsidR="00676BC9" w:rsidRPr="00E112C8" w:rsidRDefault="00676BC9" w:rsidP="000F68E5">
            <w:pPr>
              <w:rPr>
                <w:rFonts w:ascii="Calibri" w:eastAsia="Calibri" w:hAnsi="Calibri" w:cs="Calibri"/>
                <w:b/>
                <w:noProof/>
                <w:color w:val="FFFFFF" w:themeColor="background1"/>
                <w:szCs w:val="22"/>
                <w:lang w:eastAsia="en-GB"/>
              </w:rPr>
            </w:pPr>
            <w:r>
              <w:rPr>
                <w:rFonts w:ascii="Calibri" w:eastAsia="Calibri" w:hAnsi="Calibri" w:cs="Calibri"/>
                <w:b/>
                <w:noProof/>
                <w:color w:val="FFFFFF" w:themeColor="background1"/>
                <w:szCs w:val="22"/>
                <w:lang w:eastAsia="en-GB"/>
              </w:rPr>
              <w:t>Strong Active Communities</w:t>
            </w:r>
          </w:p>
        </w:tc>
      </w:tr>
      <w:tr w:rsidR="00676BC9" w:rsidTr="001D392D">
        <w:tc>
          <w:tcPr>
            <w:tcW w:w="3510" w:type="dxa"/>
            <w:tcBorders>
              <w:top w:val="nil"/>
              <w:bottom w:val="single" w:sz="4" w:space="0" w:color="D9D9D9" w:themeColor="background1" w:themeShade="D9"/>
              <w:right w:val="single" w:sz="4" w:space="0" w:color="D9D9D9" w:themeColor="background1" w:themeShade="D9"/>
            </w:tcBorders>
            <w:shd w:val="clear" w:color="auto" w:fill="E5B8B7" w:themeFill="accent2" w:themeFillTint="66"/>
          </w:tcPr>
          <w:p w:rsidR="00676BC9" w:rsidRDefault="00676BC9"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Life expectancy</w:t>
            </w:r>
            <w:r w:rsidR="001D392D">
              <w:rPr>
                <w:rFonts w:ascii="Calibri" w:eastAsia="Calibri" w:hAnsi="Calibri" w:cs="Calibri"/>
                <w:noProof/>
                <w:color w:val="000000"/>
                <w:sz w:val="22"/>
                <w:szCs w:val="22"/>
                <w:lang w:eastAsia="en-GB"/>
              </w:rPr>
              <w:t xml:space="preserve"> at birth</w:t>
            </w:r>
          </w:p>
        </w:tc>
        <w:tc>
          <w:tcPr>
            <w:tcW w:w="5732" w:type="dxa"/>
            <w:tcBorders>
              <w:top w:val="nil"/>
              <w:left w:val="single" w:sz="4" w:space="0" w:color="D9D9D9" w:themeColor="background1" w:themeShade="D9"/>
              <w:bottom w:val="single" w:sz="4" w:space="0" w:color="D9D9D9" w:themeColor="background1" w:themeShade="D9"/>
            </w:tcBorders>
            <w:shd w:val="clear" w:color="auto" w:fill="F2DBDB" w:themeFill="accent2" w:themeFillTint="33"/>
          </w:tcPr>
          <w:p w:rsidR="00676BC9" w:rsidRDefault="00721AAD"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Men</w:t>
            </w:r>
            <w:r w:rsidR="00522EC5">
              <w:rPr>
                <w:rFonts w:ascii="Calibri" w:eastAsia="Calibri" w:hAnsi="Calibri" w:cs="Calibri"/>
                <w:noProof/>
                <w:color w:val="000000"/>
                <w:sz w:val="22"/>
                <w:szCs w:val="22"/>
                <w:lang w:eastAsia="en-GB"/>
              </w:rPr>
              <w:t>: 79</w:t>
            </w:r>
            <w:r w:rsidR="001D392D">
              <w:rPr>
                <w:rFonts w:ascii="Calibri" w:eastAsia="Calibri" w:hAnsi="Calibri" w:cs="Calibri"/>
                <w:noProof/>
                <w:color w:val="000000"/>
                <w:sz w:val="22"/>
                <w:szCs w:val="22"/>
                <w:lang w:eastAsia="en-GB"/>
              </w:rPr>
              <w:t xml:space="preserve"> years</w:t>
            </w:r>
            <w:r w:rsidRPr="001D392D">
              <w:rPr>
                <w:rFonts w:ascii="Calibri" w:eastAsia="Calibri" w:hAnsi="Calibri" w:cs="Calibri"/>
                <w:noProof/>
                <w:color w:val="000000"/>
                <w:sz w:val="22"/>
                <w:szCs w:val="22"/>
                <w:vertAlign w:val="superscript"/>
                <w:lang w:eastAsia="en-GB"/>
              </w:rPr>
              <w:t>1</w:t>
            </w:r>
            <w:r w:rsidR="00522EC5">
              <w:rPr>
                <w:rFonts w:ascii="Calibri" w:eastAsia="Calibri" w:hAnsi="Calibri" w:cs="Calibri"/>
                <w:noProof/>
                <w:color w:val="000000"/>
                <w:sz w:val="22"/>
                <w:szCs w:val="22"/>
                <w:lang w:eastAsia="en-GB"/>
              </w:rPr>
              <w:t xml:space="preserve">,  </w:t>
            </w:r>
            <w:r>
              <w:rPr>
                <w:rFonts w:ascii="Calibri" w:eastAsia="Calibri" w:hAnsi="Calibri" w:cs="Calibri"/>
                <w:noProof/>
                <w:color w:val="000000"/>
                <w:sz w:val="22"/>
                <w:szCs w:val="22"/>
                <w:lang w:eastAsia="en-GB"/>
              </w:rPr>
              <w:t>Women</w:t>
            </w:r>
            <w:r w:rsidR="00522EC5">
              <w:rPr>
                <w:rFonts w:ascii="Calibri" w:eastAsia="Calibri" w:hAnsi="Calibri" w:cs="Calibri"/>
                <w:noProof/>
                <w:color w:val="000000"/>
                <w:sz w:val="22"/>
                <w:szCs w:val="22"/>
                <w:lang w:eastAsia="en-GB"/>
              </w:rPr>
              <w:t>: 83 years</w:t>
            </w:r>
            <w:r w:rsidR="001D392D" w:rsidRPr="001D392D">
              <w:rPr>
                <w:rFonts w:ascii="Calibri" w:eastAsia="Calibri" w:hAnsi="Calibri" w:cs="Calibri"/>
                <w:noProof/>
                <w:color w:val="000000"/>
                <w:sz w:val="22"/>
                <w:szCs w:val="22"/>
                <w:vertAlign w:val="superscript"/>
                <w:lang w:eastAsia="en-GB"/>
              </w:rPr>
              <w:t>1</w:t>
            </w:r>
          </w:p>
          <w:p w:rsidR="00721AAD" w:rsidRDefault="00721AAD"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M</w:t>
            </w:r>
            <w:r w:rsidRPr="00721AAD">
              <w:rPr>
                <w:rFonts w:ascii="Calibri" w:eastAsia="Calibri" w:hAnsi="Calibri" w:cs="Calibri"/>
                <w:noProof/>
                <w:color w:val="000000"/>
                <w:sz w:val="22"/>
                <w:szCs w:val="22"/>
                <w:lang w:eastAsia="en-GB"/>
              </w:rPr>
              <w:t>en from the least deprived areas can expect to live 8.3 years longer than those in the most deprived areas</w:t>
            </w:r>
            <w:r w:rsidR="007B632F">
              <w:rPr>
                <w:rFonts w:ascii="Calibri" w:eastAsia="Calibri" w:hAnsi="Calibri" w:cs="Calibri"/>
                <w:noProof/>
                <w:color w:val="000000"/>
                <w:sz w:val="22"/>
                <w:szCs w:val="22"/>
                <w:lang w:eastAsia="en-GB"/>
              </w:rPr>
              <w:t xml:space="preserve"> of Oxford</w:t>
            </w:r>
            <w:r w:rsidRPr="00721AAD">
              <w:rPr>
                <w:rFonts w:ascii="Calibri" w:eastAsia="Calibri" w:hAnsi="Calibri" w:cs="Calibri"/>
                <w:noProof/>
                <w:color w:val="000000"/>
                <w:sz w:val="22"/>
                <w:szCs w:val="22"/>
                <w:lang w:eastAsia="en-GB"/>
              </w:rPr>
              <w:t>, women 6.6 years longer.</w:t>
            </w:r>
          </w:p>
        </w:tc>
      </w:tr>
      <w:tr w:rsidR="00676BC9" w:rsidTr="001D392D">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5B8B7" w:themeFill="accent2" w:themeFillTint="66"/>
          </w:tcPr>
          <w:p w:rsidR="00676BC9" w:rsidRDefault="00996179"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population in good</w:t>
            </w:r>
            <w:r w:rsidR="007B632F">
              <w:rPr>
                <w:rFonts w:ascii="Calibri" w:eastAsia="Calibri" w:hAnsi="Calibri" w:cs="Calibri"/>
                <w:noProof/>
                <w:color w:val="000000"/>
                <w:sz w:val="22"/>
                <w:szCs w:val="22"/>
                <w:lang w:eastAsia="en-GB"/>
              </w:rPr>
              <w:t xml:space="preserve"> or </w:t>
            </w:r>
            <w:r w:rsidR="00676BC9">
              <w:rPr>
                <w:rFonts w:ascii="Calibri" w:eastAsia="Calibri" w:hAnsi="Calibri" w:cs="Calibri"/>
                <w:noProof/>
                <w:color w:val="000000"/>
                <w:sz w:val="22"/>
                <w:szCs w:val="22"/>
                <w:lang w:eastAsia="en-GB"/>
              </w:rPr>
              <w:t>very good health</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DBDB" w:themeFill="accent2" w:themeFillTint="33"/>
          </w:tcPr>
          <w:p w:rsidR="00676BC9" w:rsidRDefault="001D392D"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87%</w:t>
            </w:r>
            <w:r w:rsidRPr="001D392D">
              <w:rPr>
                <w:rFonts w:ascii="Calibri" w:eastAsia="Calibri" w:hAnsi="Calibri" w:cs="Calibri"/>
                <w:noProof/>
                <w:color w:val="000000"/>
                <w:sz w:val="22"/>
                <w:szCs w:val="22"/>
                <w:vertAlign w:val="superscript"/>
                <w:lang w:eastAsia="en-GB"/>
              </w:rPr>
              <w:t>1</w:t>
            </w:r>
          </w:p>
        </w:tc>
      </w:tr>
      <w:tr w:rsidR="00676BC9" w:rsidTr="001D392D">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5B8B7" w:themeFill="accent2" w:themeFillTint="66"/>
          </w:tcPr>
          <w:p w:rsidR="00676BC9" w:rsidRDefault="007B632F" w:rsidP="000176D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A</w:t>
            </w:r>
            <w:r w:rsidR="00676BC9">
              <w:rPr>
                <w:rFonts w:ascii="Calibri" w:eastAsia="Calibri" w:hAnsi="Calibri" w:cs="Calibri"/>
                <w:noProof/>
                <w:color w:val="000000"/>
                <w:sz w:val="22"/>
                <w:szCs w:val="22"/>
                <w:lang w:eastAsia="en-GB"/>
              </w:rPr>
              <w:t>rea</w:t>
            </w:r>
            <w:r w:rsidR="001477B5">
              <w:rPr>
                <w:rFonts w:ascii="Calibri" w:eastAsia="Calibri" w:hAnsi="Calibri" w:cs="Calibri"/>
                <w:noProof/>
                <w:color w:val="000000"/>
                <w:sz w:val="22"/>
                <w:szCs w:val="22"/>
                <w:lang w:eastAsia="en-GB"/>
              </w:rPr>
              <w:t>s of the c</w:t>
            </w:r>
            <w:r w:rsidR="000176D2">
              <w:rPr>
                <w:rFonts w:ascii="Calibri" w:eastAsia="Calibri" w:hAnsi="Calibri" w:cs="Calibri"/>
                <w:noProof/>
                <w:color w:val="000000"/>
                <w:sz w:val="22"/>
                <w:szCs w:val="22"/>
                <w:lang w:eastAsia="en-GB"/>
              </w:rPr>
              <w:t>ity amongst the 20% most dep</w:t>
            </w:r>
            <w:r w:rsidR="001477B5">
              <w:rPr>
                <w:rFonts w:ascii="Calibri" w:eastAsia="Calibri" w:hAnsi="Calibri" w:cs="Calibri"/>
                <w:noProof/>
                <w:color w:val="000000"/>
                <w:sz w:val="22"/>
                <w:szCs w:val="22"/>
                <w:lang w:eastAsia="en-GB"/>
              </w:rPr>
              <w:t>r</w:t>
            </w:r>
            <w:r w:rsidR="000176D2">
              <w:rPr>
                <w:rFonts w:ascii="Calibri" w:eastAsia="Calibri" w:hAnsi="Calibri" w:cs="Calibri"/>
                <w:noProof/>
                <w:color w:val="000000"/>
                <w:sz w:val="22"/>
                <w:szCs w:val="22"/>
                <w:lang w:eastAsia="en-GB"/>
              </w:rPr>
              <w:t>ived parts of the country</w:t>
            </w:r>
          </w:p>
        </w:tc>
        <w:tc>
          <w:tcPr>
            <w:tcW w:w="57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DBDB" w:themeFill="accent2" w:themeFillTint="33"/>
          </w:tcPr>
          <w:p w:rsidR="00676BC9" w:rsidRPr="00143A70" w:rsidRDefault="006678E8" w:rsidP="00143A70">
            <w:pPr>
              <w:rPr>
                <w:rFonts w:ascii="Calibri" w:eastAsia="Calibri" w:hAnsi="Calibri" w:cs="Calibri"/>
                <w:noProof/>
                <w:color w:val="000000"/>
                <w:sz w:val="22"/>
                <w:szCs w:val="22"/>
                <w:lang w:eastAsia="en-GB"/>
              </w:rPr>
            </w:pPr>
            <w:r>
              <w:rPr>
                <w:sz w:val="20"/>
                <w:szCs w:val="20"/>
              </w:rPr>
              <w:t xml:space="preserve">Of 85 </w:t>
            </w:r>
            <w:r w:rsidR="001477B5">
              <w:rPr>
                <w:sz w:val="20"/>
                <w:szCs w:val="20"/>
              </w:rPr>
              <w:t>‘</w:t>
            </w:r>
            <w:r w:rsidR="007B632F">
              <w:rPr>
                <w:sz w:val="20"/>
                <w:szCs w:val="20"/>
              </w:rPr>
              <w:t xml:space="preserve">super output </w:t>
            </w:r>
            <w:r>
              <w:rPr>
                <w:sz w:val="20"/>
                <w:szCs w:val="20"/>
              </w:rPr>
              <w:t>areas</w:t>
            </w:r>
            <w:r w:rsidR="001477B5">
              <w:rPr>
                <w:sz w:val="20"/>
                <w:szCs w:val="20"/>
              </w:rPr>
              <w:t>’</w:t>
            </w:r>
            <w:r>
              <w:rPr>
                <w:sz w:val="20"/>
                <w:szCs w:val="20"/>
              </w:rPr>
              <w:t xml:space="preserve"> in Oxford, 12 are among the 20% most deprived areas in England. These areas are in the Leys, Littlemore, Rose Hi</w:t>
            </w:r>
            <w:r w:rsidR="00143A70">
              <w:rPr>
                <w:sz w:val="20"/>
                <w:szCs w:val="20"/>
              </w:rPr>
              <w:t>ll and Barton areas of the city</w:t>
            </w:r>
            <w:r>
              <w:rPr>
                <w:sz w:val="20"/>
                <w:szCs w:val="20"/>
                <w:vertAlign w:val="superscript"/>
              </w:rPr>
              <w:t>2</w:t>
            </w:r>
            <w:r w:rsidR="00143A70">
              <w:rPr>
                <w:sz w:val="20"/>
                <w:szCs w:val="20"/>
              </w:rPr>
              <w:t>.</w:t>
            </w:r>
          </w:p>
        </w:tc>
      </w:tr>
    </w:tbl>
    <w:p w:rsidR="00143A70" w:rsidRPr="00143A70" w:rsidRDefault="00143A70">
      <w:pPr>
        <w:rPr>
          <w:rFonts w:ascii="Calibri" w:eastAsia="Calibri" w:hAnsi="Calibri" w:cs="Calibri"/>
          <w:noProof/>
          <w:color w:val="000000"/>
          <w:sz w:val="2"/>
          <w:szCs w:val="2"/>
          <w:vertAlign w:val="superscript"/>
          <w:lang w:eastAsia="en-GB"/>
        </w:rPr>
      </w:pPr>
    </w:p>
    <w:p w:rsidR="00143A70" w:rsidRDefault="001D392D">
      <w:pPr>
        <w:rPr>
          <w:rFonts w:ascii="Calibri" w:eastAsia="Calibri" w:hAnsi="Calibri" w:cs="Calibri"/>
          <w:noProof/>
          <w:color w:val="000000"/>
          <w:sz w:val="20"/>
          <w:szCs w:val="22"/>
          <w:lang w:eastAsia="en-GB"/>
        </w:rPr>
      </w:pPr>
      <w:r w:rsidRPr="00F64447">
        <w:rPr>
          <w:rFonts w:ascii="Calibri" w:eastAsia="Calibri" w:hAnsi="Calibri" w:cs="Calibri"/>
          <w:noProof/>
          <w:color w:val="000000"/>
          <w:sz w:val="20"/>
          <w:szCs w:val="22"/>
          <w:vertAlign w:val="superscript"/>
          <w:lang w:eastAsia="en-GB"/>
        </w:rPr>
        <w:t>1</w:t>
      </w:r>
      <w:r w:rsidR="006678E8" w:rsidRPr="00F64447">
        <w:rPr>
          <w:rFonts w:ascii="Calibri" w:eastAsia="Calibri" w:hAnsi="Calibri" w:cs="Calibri"/>
          <w:noProof/>
          <w:color w:val="000000"/>
          <w:sz w:val="20"/>
          <w:szCs w:val="22"/>
          <w:vertAlign w:val="superscript"/>
          <w:lang w:eastAsia="en-GB"/>
        </w:rPr>
        <w:t xml:space="preserve"> </w:t>
      </w:r>
      <w:r w:rsidRPr="00F64447">
        <w:rPr>
          <w:rFonts w:ascii="Calibri" w:eastAsia="Calibri" w:hAnsi="Calibri" w:cs="Calibri"/>
          <w:noProof/>
          <w:color w:val="000000"/>
          <w:sz w:val="20"/>
          <w:szCs w:val="22"/>
          <w:lang w:eastAsia="en-GB"/>
        </w:rPr>
        <w:t xml:space="preserve">UK </w:t>
      </w:r>
      <w:r w:rsidR="006678E8" w:rsidRPr="00F64447">
        <w:rPr>
          <w:rFonts w:ascii="Calibri" w:eastAsia="Calibri" w:hAnsi="Calibri" w:cs="Calibri"/>
          <w:noProof/>
          <w:color w:val="000000"/>
          <w:sz w:val="20"/>
          <w:szCs w:val="22"/>
          <w:lang w:eastAsia="en-GB"/>
        </w:rPr>
        <w:t>Census (2011)</w:t>
      </w:r>
      <w:r w:rsidR="006678E8" w:rsidRPr="00F64447">
        <w:rPr>
          <w:rFonts w:ascii="Calibri" w:eastAsia="Calibri" w:hAnsi="Calibri" w:cs="Calibri"/>
          <w:noProof/>
          <w:color w:val="000000"/>
          <w:sz w:val="20"/>
          <w:szCs w:val="22"/>
          <w:lang w:eastAsia="en-GB"/>
        </w:rPr>
        <w:tab/>
      </w:r>
    </w:p>
    <w:p w:rsidR="00FB3270" w:rsidRPr="00143A70" w:rsidRDefault="006678E8">
      <w:pPr>
        <w:rPr>
          <w:rFonts w:ascii="Calibri" w:eastAsia="Calibri" w:hAnsi="Calibri" w:cs="Calibri"/>
          <w:noProof/>
          <w:color w:val="000000"/>
          <w:sz w:val="20"/>
          <w:szCs w:val="22"/>
          <w:lang w:eastAsia="en-GB"/>
        </w:rPr>
      </w:pPr>
      <w:r w:rsidRPr="00F64447">
        <w:rPr>
          <w:rFonts w:ascii="Calibri" w:eastAsia="Calibri" w:hAnsi="Calibri" w:cs="Calibri"/>
          <w:noProof/>
          <w:color w:val="000000"/>
          <w:sz w:val="20"/>
          <w:szCs w:val="22"/>
          <w:vertAlign w:val="superscript"/>
          <w:lang w:eastAsia="en-GB"/>
        </w:rPr>
        <w:t>2</w:t>
      </w:r>
      <w:r w:rsidRPr="00F64447">
        <w:rPr>
          <w:rFonts w:ascii="Calibri" w:eastAsia="Calibri" w:hAnsi="Calibri" w:cs="Calibri"/>
          <w:noProof/>
          <w:color w:val="000000"/>
          <w:sz w:val="20"/>
          <w:szCs w:val="22"/>
          <w:lang w:eastAsia="en-GB"/>
        </w:rPr>
        <w:t xml:space="preserve"> English Indices of Deprivation (2010)</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36"/>
        <w:gridCol w:w="5306"/>
      </w:tblGrid>
      <w:tr w:rsidR="007020ED" w:rsidTr="00676BC9">
        <w:tc>
          <w:tcPr>
            <w:tcW w:w="9242" w:type="dxa"/>
            <w:gridSpan w:val="2"/>
            <w:tcBorders>
              <w:bottom w:val="nil"/>
            </w:tcBorders>
            <w:shd w:val="clear" w:color="auto" w:fill="244061" w:themeFill="accent1" w:themeFillShade="80"/>
          </w:tcPr>
          <w:p w:rsidR="007020ED" w:rsidRPr="007020ED" w:rsidRDefault="00280EB5" w:rsidP="00A31762">
            <w:pPr>
              <w:rPr>
                <w:rFonts w:ascii="Calibri" w:eastAsia="Calibri" w:hAnsi="Calibri" w:cs="Calibri"/>
                <w:b/>
                <w:noProof/>
                <w:color w:val="000000"/>
                <w:sz w:val="22"/>
                <w:szCs w:val="22"/>
                <w:lang w:eastAsia="en-GB"/>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31968" behindDoc="0" locked="0" layoutInCell="1" allowOverlap="1" wp14:anchorId="5037D12D" wp14:editId="086095E6">
                      <wp:simplePos x="0" y="0"/>
                      <wp:positionH relativeFrom="column">
                        <wp:posOffset>4082415</wp:posOffset>
                      </wp:positionH>
                      <wp:positionV relativeFrom="paragraph">
                        <wp:posOffset>-566238</wp:posOffset>
                      </wp:positionV>
                      <wp:extent cx="1722755"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280EB5">
                                  <w:pPr>
                                    <w:jc w:val="right"/>
                                    <w:rPr>
                                      <w:b/>
                                      <w:color w:val="595959" w:themeColor="text1" w:themeTint="A6"/>
                                    </w:rPr>
                                  </w:pPr>
                                  <w:r w:rsidRPr="00280EB5">
                                    <w:rPr>
                                      <w:b/>
                                      <w:color w:val="595959" w:themeColor="text1" w:themeTint="A6"/>
                                    </w:rPr>
                                    <w:t>Oxford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321.45pt;margin-top:-44.6pt;width:135.65pt;height:27.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" fillcolor="window" stroked="f" strokeweight=".5pt">
                      <v:textbox>
                        <w:txbxContent>
                          <w:p w:rsidR="000D3CFF" w:rsidRPr="00280EB5" w:rsidRDefault="000D3CFF" w:rsidP="00280EB5">
                            <w:pPr>
                              <w:jc w:val="right"/>
                              <w:rPr>
                                <w:b/>
                                <w:color w:val="595959" w:themeColor="text1" w:themeTint="A6"/>
                              </w:rPr>
                            </w:pPr>
                            <w:r w:rsidRPr="00280EB5">
                              <w:rPr>
                                <w:b/>
                                <w:color w:val="595959" w:themeColor="text1" w:themeTint="A6"/>
                              </w:rPr>
                              <w:t>Oxford Snapshot</w:t>
                            </w:r>
                          </w:p>
                        </w:txbxContent>
                      </v:textbox>
                    </v:shape>
                  </w:pict>
                </mc:Fallback>
              </mc:AlternateContent>
            </w:r>
            <w:r w:rsidR="007020ED" w:rsidRPr="006D1F26">
              <w:rPr>
                <w:rFonts w:ascii="Calibri" w:eastAsia="Calibri" w:hAnsi="Calibri" w:cs="Calibri"/>
                <w:b/>
                <w:noProof/>
                <w:color w:val="FFFFFF" w:themeColor="background1"/>
                <w:szCs w:val="22"/>
                <w:lang w:eastAsia="en-GB"/>
              </w:rPr>
              <w:t>Vibrant Sustianable Economy</w:t>
            </w:r>
          </w:p>
        </w:tc>
      </w:tr>
      <w:tr w:rsidR="006D1F26" w:rsidTr="00F64447">
        <w:tc>
          <w:tcPr>
            <w:tcW w:w="3936" w:type="dxa"/>
            <w:tcBorders>
              <w:top w:val="nil"/>
              <w:bottom w:val="single" w:sz="4" w:space="0" w:color="D9D9D9" w:themeColor="background1" w:themeShade="D9"/>
              <w:right w:val="single" w:sz="4" w:space="0" w:color="D9D9D9" w:themeColor="background1" w:themeShade="D9"/>
            </w:tcBorders>
            <w:shd w:val="clear" w:color="auto" w:fill="B8CCE4" w:themeFill="accent1" w:themeFillTint="66"/>
          </w:tcPr>
          <w:p w:rsidR="006D1F26" w:rsidRDefault="00A72FCF" w:rsidP="00A72FCF">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Number of b</w:t>
            </w:r>
            <w:r w:rsidR="006D1F26">
              <w:rPr>
                <w:rFonts w:ascii="Calibri" w:eastAsia="Calibri" w:hAnsi="Calibri" w:cs="Calibri"/>
                <w:noProof/>
                <w:color w:val="000000"/>
                <w:sz w:val="22"/>
                <w:szCs w:val="22"/>
                <w:lang w:eastAsia="en-GB"/>
              </w:rPr>
              <w:t xml:space="preserve">uisnesses </w:t>
            </w:r>
          </w:p>
        </w:tc>
        <w:tc>
          <w:tcPr>
            <w:tcW w:w="5306" w:type="dxa"/>
            <w:tcBorders>
              <w:top w:val="nil"/>
              <w:left w:val="single" w:sz="4" w:space="0" w:color="D9D9D9" w:themeColor="background1" w:themeShade="D9"/>
              <w:bottom w:val="single" w:sz="4" w:space="0" w:color="D9D9D9" w:themeColor="background1" w:themeShade="D9"/>
            </w:tcBorders>
            <w:shd w:val="clear" w:color="auto" w:fill="DBE5F1" w:themeFill="accent1" w:themeFillTint="33"/>
          </w:tcPr>
          <w:p w:rsidR="006D1F26" w:rsidRPr="000F68E5" w:rsidRDefault="000F68E5" w:rsidP="00143A70">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4,105</w:t>
            </w:r>
            <w:r>
              <w:rPr>
                <w:rFonts w:ascii="Calibri" w:eastAsia="Calibri" w:hAnsi="Calibri" w:cs="Calibri"/>
                <w:noProof/>
                <w:color w:val="000000"/>
                <w:sz w:val="20"/>
                <w:szCs w:val="20"/>
                <w:vertAlign w:val="superscript"/>
                <w:lang w:eastAsia="en-GB"/>
              </w:rPr>
              <w:t>3</w:t>
            </w:r>
          </w:p>
        </w:tc>
      </w:tr>
      <w:tr w:rsidR="00676BC9" w:rsidTr="00F64447">
        <w:tc>
          <w:tcPr>
            <w:tcW w:w="3936" w:type="dxa"/>
            <w:tcBorders>
              <w:top w:val="single" w:sz="4" w:space="0" w:color="D9D9D9" w:themeColor="background1" w:themeShade="D9"/>
              <w:bottom w:val="nil"/>
              <w:right w:val="single" w:sz="4" w:space="0" w:color="D9D9D9" w:themeColor="background1" w:themeShade="D9"/>
            </w:tcBorders>
            <w:shd w:val="clear" w:color="auto" w:fill="B8CCE4" w:themeFill="accent1" w:themeFillTint="66"/>
          </w:tcPr>
          <w:p w:rsidR="00676BC9" w:rsidRPr="006A2722" w:rsidRDefault="00A72FCF"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Employment </w:t>
            </w:r>
            <w:r w:rsidRPr="00A72FCF">
              <w:rPr>
                <w:rFonts w:ascii="Calibri" w:eastAsia="Calibri" w:hAnsi="Calibri" w:cs="Calibri"/>
                <w:noProof/>
                <w:color w:val="000000"/>
                <w:sz w:val="20"/>
                <w:szCs w:val="22"/>
                <w:lang w:eastAsia="en-GB"/>
              </w:rPr>
              <w:t>(by s</w:t>
            </w:r>
            <w:r w:rsidR="00676BC9" w:rsidRPr="00A72FCF">
              <w:rPr>
                <w:rFonts w:ascii="Calibri" w:eastAsia="Calibri" w:hAnsi="Calibri" w:cs="Calibri"/>
                <w:noProof/>
                <w:color w:val="000000"/>
                <w:sz w:val="20"/>
                <w:szCs w:val="22"/>
                <w:lang w:eastAsia="en-GB"/>
              </w:rPr>
              <w:t>ector</w:t>
            </w:r>
            <w:r w:rsidRPr="00A72FCF">
              <w:rPr>
                <w:rFonts w:ascii="Calibri" w:eastAsia="Calibri" w:hAnsi="Calibri" w:cs="Calibri"/>
                <w:noProof/>
                <w:color w:val="000000"/>
                <w:sz w:val="20"/>
                <w:szCs w:val="22"/>
                <w:lang w:eastAsia="en-GB"/>
              </w:rPr>
              <w:t>)</w:t>
            </w:r>
          </w:p>
        </w:tc>
        <w:tc>
          <w:tcPr>
            <w:tcW w:w="5306" w:type="dxa"/>
            <w:tcBorders>
              <w:top w:val="single" w:sz="4" w:space="0" w:color="D9D9D9" w:themeColor="background1" w:themeShade="D9"/>
              <w:left w:val="single" w:sz="4" w:space="0" w:color="D9D9D9" w:themeColor="background1" w:themeShade="D9"/>
              <w:bottom w:val="nil"/>
            </w:tcBorders>
            <w:shd w:val="clear" w:color="auto" w:fill="DBE5F1" w:themeFill="accent1" w:themeFillTint="33"/>
          </w:tcPr>
          <w:p w:rsidR="00676BC9" w:rsidRDefault="00676BC9" w:rsidP="00676BC9">
            <w:pPr>
              <w:rPr>
                <w:rFonts w:ascii="Calibri" w:eastAsia="Calibri" w:hAnsi="Calibri" w:cs="Calibri"/>
                <w:noProof/>
                <w:color w:val="000000"/>
                <w:sz w:val="22"/>
                <w:szCs w:val="22"/>
                <w:lang w:eastAsia="en-GB"/>
              </w:rPr>
            </w:pPr>
          </w:p>
        </w:tc>
      </w:tr>
      <w:tr w:rsidR="00676BC9" w:rsidTr="00F64447">
        <w:tc>
          <w:tcPr>
            <w:tcW w:w="3936" w:type="dxa"/>
            <w:tcBorders>
              <w:top w:val="nil"/>
              <w:bottom w:val="nil"/>
              <w:right w:val="single" w:sz="4" w:space="0" w:color="D9D9D9" w:themeColor="background1" w:themeShade="D9"/>
            </w:tcBorders>
            <w:shd w:val="clear" w:color="auto" w:fill="B8CCE4" w:themeFill="accent1" w:themeFillTint="66"/>
          </w:tcPr>
          <w:p w:rsidR="00676BC9" w:rsidRPr="0044790B" w:rsidRDefault="00676BC9" w:rsidP="00F64447">
            <w:pPr>
              <w:ind w:left="709"/>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Private sector activities</w:t>
            </w:r>
          </w:p>
        </w:tc>
        <w:tc>
          <w:tcPr>
            <w:tcW w:w="5306" w:type="dxa"/>
            <w:tcBorders>
              <w:top w:val="nil"/>
              <w:left w:val="single" w:sz="4" w:space="0" w:color="D9D9D9" w:themeColor="background1" w:themeShade="D9"/>
              <w:bottom w:val="nil"/>
            </w:tcBorders>
            <w:shd w:val="clear" w:color="auto" w:fill="DBE5F1" w:themeFill="accent1" w:themeFillTint="33"/>
          </w:tcPr>
          <w:p w:rsidR="00676BC9" w:rsidRPr="0044790B" w:rsidRDefault="00676BC9" w:rsidP="00676BC9">
            <w:pPr>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55,500 (51%)</w:t>
            </w:r>
            <w:r w:rsidR="00253DA0" w:rsidRPr="0044790B">
              <w:rPr>
                <w:rFonts w:asciiTheme="minorHAnsi" w:hAnsiTheme="minorHAnsi" w:cstheme="minorHAnsi"/>
                <w:sz w:val="22"/>
                <w:szCs w:val="22"/>
                <w:vertAlign w:val="superscript"/>
              </w:rPr>
              <w:t>4</w:t>
            </w:r>
          </w:p>
        </w:tc>
      </w:tr>
      <w:tr w:rsidR="00676BC9" w:rsidTr="00F64447">
        <w:tc>
          <w:tcPr>
            <w:tcW w:w="3936" w:type="dxa"/>
            <w:tcBorders>
              <w:top w:val="nil"/>
              <w:bottom w:val="nil"/>
              <w:right w:val="single" w:sz="4" w:space="0" w:color="D9D9D9" w:themeColor="background1" w:themeShade="D9"/>
            </w:tcBorders>
            <w:shd w:val="clear" w:color="auto" w:fill="B8CCE4" w:themeFill="accent1" w:themeFillTint="66"/>
          </w:tcPr>
          <w:p w:rsidR="00676BC9" w:rsidRPr="0044790B" w:rsidRDefault="00676BC9" w:rsidP="00E510FD">
            <w:pPr>
              <w:ind w:left="709"/>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Higher educ</w:t>
            </w:r>
            <w:r w:rsidR="00E510FD">
              <w:rPr>
                <w:rFonts w:ascii="Calibri" w:eastAsia="Calibri" w:hAnsi="Calibri" w:cs="Calibri"/>
                <w:noProof/>
                <w:color w:val="000000"/>
                <w:sz w:val="22"/>
                <w:szCs w:val="22"/>
                <w:lang w:eastAsia="en-GB"/>
              </w:rPr>
              <w:t>a</w:t>
            </w:r>
            <w:r w:rsidRPr="0044790B">
              <w:rPr>
                <w:rFonts w:ascii="Calibri" w:eastAsia="Calibri" w:hAnsi="Calibri" w:cs="Calibri"/>
                <w:noProof/>
                <w:color w:val="000000"/>
                <w:sz w:val="22"/>
                <w:szCs w:val="22"/>
                <w:lang w:eastAsia="en-GB"/>
              </w:rPr>
              <w:t>tion</w:t>
            </w:r>
          </w:p>
        </w:tc>
        <w:tc>
          <w:tcPr>
            <w:tcW w:w="5306" w:type="dxa"/>
            <w:tcBorders>
              <w:top w:val="nil"/>
              <w:left w:val="single" w:sz="4" w:space="0" w:color="D9D9D9" w:themeColor="background1" w:themeShade="D9"/>
              <w:bottom w:val="nil"/>
            </w:tcBorders>
            <w:shd w:val="clear" w:color="auto" w:fill="DBE5F1" w:themeFill="accent1" w:themeFillTint="33"/>
          </w:tcPr>
          <w:p w:rsidR="00676BC9" w:rsidRPr="0044790B" w:rsidRDefault="00676BC9" w:rsidP="00676BC9">
            <w:pPr>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21,000 (19%)</w:t>
            </w:r>
            <w:r w:rsidR="00253DA0" w:rsidRPr="0044790B">
              <w:rPr>
                <w:rFonts w:asciiTheme="minorHAnsi" w:hAnsiTheme="minorHAnsi" w:cstheme="minorHAnsi"/>
                <w:sz w:val="22"/>
                <w:szCs w:val="22"/>
                <w:vertAlign w:val="superscript"/>
              </w:rPr>
              <w:t>4</w:t>
            </w:r>
          </w:p>
        </w:tc>
      </w:tr>
      <w:tr w:rsidR="00676BC9" w:rsidTr="00F64447">
        <w:tc>
          <w:tcPr>
            <w:tcW w:w="3936" w:type="dxa"/>
            <w:tcBorders>
              <w:top w:val="nil"/>
              <w:bottom w:val="single" w:sz="4" w:space="0" w:color="D9D9D9" w:themeColor="background1" w:themeShade="D9"/>
              <w:right w:val="single" w:sz="4" w:space="0" w:color="D9D9D9" w:themeColor="background1" w:themeShade="D9"/>
            </w:tcBorders>
            <w:shd w:val="clear" w:color="auto" w:fill="B8CCE4" w:themeFill="accent1" w:themeFillTint="66"/>
          </w:tcPr>
          <w:p w:rsidR="00676BC9" w:rsidRPr="0044790B" w:rsidRDefault="00676BC9" w:rsidP="00F64447">
            <w:pPr>
              <w:ind w:left="709"/>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Public sector activities</w:t>
            </w:r>
          </w:p>
        </w:tc>
        <w:tc>
          <w:tcPr>
            <w:tcW w:w="5306" w:type="dxa"/>
            <w:tcBorders>
              <w:top w:val="nil"/>
              <w:left w:val="single" w:sz="4" w:space="0" w:color="D9D9D9" w:themeColor="background1" w:themeShade="D9"/>
              <w:bottom w:val="single" w:sz="4" w:space="0" w:color="D9D9D9" w:themeColor="background1" w:themeShade="D9"/>
            </w:tcBorders>
            <w:shd w:val="clear" w:color="auto" w:fill="DBE5F1" w:themeFill="accent1" w:themeFillTint="33"/>
          </w:tcPr>
          <w:p w:rsidR="00676BC9" w:rsidRPr="0044790B" w:rsidRDefault="00676BC9" w:rsidP="00676BC9">
            <w:pPr>
              <w:rPr>
                <w:rFonts w:ascii="Calibri" w:eastAsia="Calibri" w:hAnsi="Calibri" w:cs="Calibri"/>
                <w:noProof/>
                <w:color w:val="000000"/>
                <w:sz w:val="22"/>
                <w:szCs w:val="22"/>
                <w:lang w:eastAsia="en-GB"/>
              </w:rPr>
            </w:pPr>
            <w:r w:rsidRPr="0044790B">
              <w:rPr>
                <w:rFonts w:ascii="Calibri" w:eastAsia="Calibri" w:hAnsi="Calibri" w:cs="Calibri"/>
                <w:noProof/>
                <w:color w:val="000000"/>
                <w:sz w:val="22"/>
                <w:szCs w:val="22"/>
                <w:lang w:eastAsia="en-GB"/>
              </w:rPr>
              <w:t>32,500 (30%)</w:t>
            </w:r>
            <w:r w:rsidR="00253DA0" w:rsidRPr="0044790B">
              <w:rPr>
                <w:rFonts w:asciiTheme="minorHAnsi" w:hAnsiTheme="minorHAnsi" w:cstheme="minorHAnsi"/>
                <w:sz w:val="22"/>
                <w:szCs w:val="22"/>
                <w:vertAlign w:val="superscript"/>
              </w:rPr>
              <w:t>4</w:t>
            </w:r>
          </w:p>
        </w:tc>
      </w:tr>
      <w:tr w:rsidR="00676BC9"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676BC9" w:rsidRDefault="00676BC9"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Total number of jobs</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676BC9" w:rsidRDefault="00676BC9" w:rsidP="00676BC9">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109,000 (100%)</w:t>
            </w:r>
            <w:r w:rsidR="00253DA0">
              <w:rPr>
                <w:rFonts w:asciiTheme="minorHAnsi" w:hAnsiTheme="minorHAnsi" w:cstheme="minorHAnsi"/>
                <w:sz w:val="22"/>
                <w:szCs w:val="22"/>
                <w:vertAlign w:val="superscript"/>
              </w:rPr>
              <w:t>4</w:t>
            </w:r>
          </w:p>
        </w:tc>
      </w:tr>
      <w:tr w:rsidR="008F65CF"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8F65CF" w:rsidRDefault="00143A70"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People commu</w:t>
            </w:r>
            <w:r w:rsidR="00BD153F">
              <w:rPr>
                <w:rFonts w:ascii="Calibri" w:eastAsia="Calibri" w:hAnsi="Calibri" w:cs="Calibri"/>
                <w:noProof/>
                <w:color w:val="000000"/>
                <w:sz w:val="22"/>
                <w:szCs w:val="22"/>
                <w:lang w:eastAsia="en-GB"/>
              </w:rPr>
              <w:t xml:space="preserve">ting into Oxford for work </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8F65CF" w:rsidRPr="00F64447" w:rsidRDefault="00BD153F" w:rsidP="00F64447">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40,000</w:t>
            </w:r>
            <w:r w:rsidR="00F64447">
              <w:rPr>
                <w:rFonts w:ascii="Calibri" w:eastAsia="Calibri" w:hAnsi="Calibri" w:cs="Calibri"/>
                <w:noProof/>
                <w:color w:val="000000"/>
                <w:sz w:val="22"/>
                <w:szCs w:val="22"/>
                <w:vertAlign w:val="superscript"/>
                <w:lang w:eastAsia="en-GB"/>
              </w:rPr>
              <w:t>1</w:t>
            </w:r>
          </w:p>
        </w:tc>
      </w:tr>
      <w:tr w:rsidR="008F65CF"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8F65CF" w:rsidRDefault="008F65CF"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Unemployment</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8F65CF" w:rsidRPr="00F64447" w:rsidRDefault="00253DA0" w:rsidP="00BD153F">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5,200</w:t>
            </w:r>
            <w:r w:rsidR="00F64447">
              <w:rPr>
                <w:rFonts w:ascii="Calibri" w:eastAsia="Calibri" w:hAnsi="Calibri" w:cs="Calibri"/>
                <w:noProof/>
                <w:color w:val="000000"/>
                <w:sz w:val="22"/>
                <w:szCs w:val="22"/>
                <w:lang w:eastAsia="en-GB"/>
              </w:rPr>
              <w:t xml:space="preserve"> </w:t>
            </w:r>
            <w:r w:rsidR="00F64447" w:rsidRPr="00F64447">
              <w:rPr>
                <w:rFonts w:ascii="Calibri" w:eastAsia="Calibri" w:hAnsi="Calibri" w:cs="Calibri"/>
                <w:noProof/>
                <w:color w:val="000000"/>
                <w:sz w:val="20"/>
                <w:szCs w:val="22"/>
                <w:lang w:eastAsia="en-GB"/>
              </w:rPr>
              <w:t>(5.6% of Oxford’s economically active population)</w:t>
            </w:r>
            <w:r w:rsidR="00F64447">
              <w:rPr>
                <w:rFonts w:ascii="Calibri" w:eastAsia="Calibri" w:hAnsi="Calibri" w:cs="Calibri"/>
                <w:noProof/>
                <w:color w:val="000000"/>
                <w:sz w:val="20"/>
                <w:szCs w:val="22"/>
                <w:vertAlign w:val="superscript"/>
                <w:lang w:eastAsia="en-GB"/>
              </w:rPr>
              <w:t>5</w:t>
            </w:r>
          </w:p>
        </w:tc>
      </w:tr>
      <w:tr w:rsidR="008F65CF"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8F65CF" w:rsidRDefault="00A72FCF" w:rsidP="00A72FCF">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Annual number of visitors</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8F65CF" w:rsidRDefault="00D67594" w:rsidP="00BD153F">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9.5 million </w:t>
            </w:r>
            <w:r w:rsidRPr="00D67594">
              <w:rPr>
                <w:rFonts w:ascii="Calibri" w:eastAsia="Calibri" w:hAnsi="Calibri" w:cs="Calibri"/>
                <w:noProof/>
                <w:color w:val="000000"/>
                <w:sz w:val="20"/>
                <w:szCs w:val="22"/>
                <w:lang w:eastAsia="en-GB"/>
              </w:rPr>
              <w:t>(approximately)</w:t>
            </w:r>
          </w:p>
        </w:tc>
      </w:tr>
      <w:tr w:rsidR="00BD153F"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BD153F" w:rsidRDefault="00CD6163" w:rsidP="00EB05F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Low or n</w:t>
            </w:r>
            <w:r w:rsidR="00BD153F">
              <w:rPr>
                <w:rFonts w:ascii="Calibri" w:eastAsia="Calibri" w:hAnsi="Calibri" w:cs="Calibri"/>
                <w:noProof/>
                <w:color w:val="000000"/>
                <w:sz w:val="22"/>
                <w:szCs w:val="22"/>
                <w:lang w:eastAsia="en-GB"/>
              </w:rPr>
              <w:t>o qualifications</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BD153F" w:rsidRPr="00E510FD" w:rsidRDefault="00CD6163" w:rsidP="00EB05F5">
            <w:pPr>
              <w:rPr>
                <w:rFonts w:ascii="Calibri" w:eastAsia="Calibri" w:hAnsi="Calibri" w:cs="Calibri"/>
                <w:noProof/>
                <w:color w:val="000000"/>
                <w:sz w:val="22"/>
                <w:szCs w:val="22"/>
                <w:highlight w:val="yellow"/>
                <w:lang w:eastAsia="en-GB"/>
              </w:rPr>
            </w:pPr>
            <w:r w:rsidRPr="00CD6163">
              <w:rPr>
                <w:rFonts w:ascii="Calibri" w:eastAsia="Calibri" w:hAnsi="Calibri" w:cs="Calibri"/>
                <w:noProof/>
                <w:color w:val="000000"/>
                <w:sz w:val="22"/>
                <w:szCs w:val="22"/>
                <w:lang w:eastAsia="en-GB"/>
              </w:rPr>
              <w:t>22</w:t>
            </w:r>
            <w:r>
              <w:rPr>
                <w:rFonts w:ascii="Calibri" w:eastAsia="Calibri" w:hAnsi="Calibri" w:cs="Calibri"/>
                <w:noProof/>
                <w:color w:val="000000"/>
                <w:sz w:val="22"/>
                <w:szCs w:val="22"/>
                <w:lang w:eastAsia="en-GB"/>
              </w:rPr>
              <w:t>% of Oxford’s population</w:t>
            </w:r>
            <w:r w:rsidR="00EB05F5" w:rsidRPr="00CD6163">
              <w:rPr>
                <w:rFonts w:ascii="Calibri" w:eastAsia="Calibri" w:hAnsi="Calibri" w:cs="Calibri"/>
                <w:noProof/>
                <w:color w:val="000000"/>
                <w:sz w:val="22"/>
                <w:szCs w:val="22"/>
                <w:vertAlign w:val="superscript"/>
                <w:lang w:eastAsia="en-GB"/>
              </w:rPr>
              <w:t xml:space="preserve"> 5</w:t>
            </w:r>
          </w:p>
        </w:tc>
      </w:tr>
      <w:tr w:rsidR="00BD153F"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BD153F" w:rsidRDefault="00BD153F"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Degree level qualifications</w:t>
            </w:r>
            <w:r w:rsidR="00F64447">
              <w:rPr>
                <w:rFonts w:ascii="Calibri" w:eastAsia="Calibri" w:hAnsi="Calibri" w:cs="Calibri"/>
                <w:noProof/>
                <w:color w:val="000000"/>
                <w:sz w:val="22"/>
                <w:szCs w:val="22"/>
                <w:lang w:eastAsia="en-GB"/>
              </w:rPr>
              <w:t xml:space="preserve"> (NVQ4 +)</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BE5F1" w:themeFill="accent1" w:themeFillTint="33"/>
          </w:tcPr>
          <w:p w:rsidR="00BD153F" w:rsidRPr="00E510FD" w:rsidRDefault="00CD6163" w:rsidP="00A31762">
            <w:pPr>
              <w:rPr>
                <w:rFonts w:ascii="Calibri" w:eastAsia="Calibri" w:hAnsi="Calibri" w:cs="Calibri"/>
                <w:noProof/>
                <w:color w:val="000000"/>
                <w:sz w:val="22"/>
                <w:szCs w:val="22"/>
                <w:highlight w:val="yellow"/>
                <w:vertAlign w:val="superscript"/>
                <w:lang w:eastAsia="en-GB"/>
              </w:rPr>
            </w:pPr>
            <w:r w:rsidRPr="00CD6163">
              <w:rPr>
                <w:rFonts w:ascii="Calibri" w:eastAsia="Calibri" w:hAnsi="Calibri" w:cs="Calibri"/>
                <w:noProof/>
                <w:color w:val="000000"/>
                <w:sz w:val="22"/>
                <w:szCs w:val="22"/>
                <w:lang w:eastAsia="en-GB"/>
              </w:rPr>
              <w:t>43% of Oxford’s</w:t>
            </w:r>
            <w:r w:rsidR="00EB05F5" w:rsidRPr="00CD6163">
              <w:rPr>
                <w:rFonts w:ascii="Calibri" w:eastAsia="Calibri" w:hAnsi="Calibri" w:cs="Calibri"/>
                <w:noProof/>
                <w:color w:val="000000"/>
                <w:sz w:val="22"/>
                <w:szCs w:val="22"/>
                <w:lang w:eastAsia="en-GB"/>
              </w:rPr>
              <w:t xml:space="preserve"> population</w:t>
            </w:r>
            <w:r w:rsidR="00F64447" w:rsidRPr="00CD6163">
              <w:rPr>
                <w:rFonts w:ascii="Calibri" w:eastAsia="Calibri" w:hAnsi="Calibri" w:cs="Calibri"/>
                <w:noProof/>
                <w:color w:val="000000"/>
                <w:sz w:val="22"/>
                <w:szCs w:val="22"/>
                <w:vertAlign w:val="superscript"/>
                <w:lang w:eastAsia="en-GB"/>
              </w:rPr>
              <w:t>5</w:t>
            </w:r>
          </w:p>
        </w:tc>
      </w:tr>
      <w:tr w:rsidR="00F64447" w:rsidTr="00F64447">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rsidR="00F64447" w:rsidRDefault="00F64447" w:rsidP="00E510FD">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Employment </w:t>
            </w:r>
            <w:r w:rsidR="00E510FD">
              <w:rPr>
                <w:rFonts w:ascii="Calibri" w:eastAsia="Calibri" w:hAnsi="Calibri" w:cs="Calibri"/>
                <w:noProof/>
                <w:color w:val="000000"/>
                <w:sz w:val="22"/>
                <w:szCs w:val="22"/>
                <w:lang w:eastAsia="en-GB"/>
              </w:rPr>
              <w:t>distribution</w:t>
            </w:r>
            <w:r>
              <w:rPr>
                <w:rFonts w:ascii="Calibri" w:eastAsia="Calibri" w:hAnsi="Calibri" w:cs="Calibri"/>
                <w:noProof/>
                <w:color w:val="000000"/>
                <w:sz w:val="22"/>
                <w:szCs w:val="22"/>
                <w:lang w:eastAsia="en-GB"/>
              </w:rPr>
              <w:t xml:space="preserve"> in Oxford</w:t>
            </w:r>
          </w:p>
        </w:tc>
        <w:tc>
          <w:tcPr>
            <w:tcW w:w="5306" w:type="dxa"/>
            <w:tcBorders>
              <w:top w:val="single" w:sz="4" w:space="0" w:color="D9D9D9" w:themeColor="background1" w:themeShade="D9"/>
              <w:left w:val="single" w:sz="4" w:space="0" w:color="D9D9D9" w:themeColor="background1" w:themeShade="D9"/>
              <w:bottom w:val="nil"/>
            </w:tcBorders>
            <w:shd w:val="clear" w:color="auto" w:fill="DBE5F1" w:themeFill="accent1" w:themeFillTint="33"/>
          </w:tcPr>
          <w:p w:rsidR="00F64447" w:rsidRDefault="00F64447" w:rsidP="00A31762">
            <w:pPr>
              <w:rPr>
                <w:rFonts w:ascii="Calibri" w:eastAsia="Calibri" w:hAnsi="Calibri" w:cs="Calibri"/>
                <w:noProof/>
                <w:color w:val="000000"/>
                <w:sz w:val="22"/>
                <w:szCs w:val="22"/>
                <w:lang w:eastAsia="en-GB"/>
              </w:rPr>
            </w:pPr>
          </w:p>
        </w:tc>
      </w:tr>
      <w:tr w:rsidR="00F64447" w:rsidTr="00F64447">
        <w:tc>
          <w:tcPr>
            <w:tcW w:w="9242" w:type="dxa"/>
            <w:gridSpan w:val="2"/>
            <w:tcBorders>
              <w:top w:val="nil"/>
              <w:bottom w:val="single" w:sz="4" w:space="0" w:color="D9D9D9" w:themeColor="background1" w:themeShade="D9"/>
            </w:tcBorders>
            <w:shd w:val="clear" w:color="auto" w:fill="DBE5F1" w:themeFill="accent1" w:themeFillTint="33"/>
          </w:tcPr>
          <w:p w:rsidR="00F64447" w:rsidRPr="00FB6EBA" w:rsidRDefault="00F64447" w:rsidP="00A31762">
            <w:pPr>
              <w:rPr>
                <w:rFonts w:ascii="Calibri" w:eastAsia="Calibri" w:hAnsi="Calibri" w:cs="Calibri"/>
                <w:noProof/>
                <w:color w:val="000000"/>
                <w:sz w:val="10"/>
                <w:szCs w:val="10"/>
                <w:lang w:eastAsia="en-GB"/>
              </w:rPr>
            </w:pPr>
          </w:p>
          <w:p w:rsidR="00F64447" w:rsidRDefault="00FB6EBA" w:rsidP="00FB6EBA">
            <w:pPr>
              <w:jc w:val="cente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drawing>
                <wp:inline distT="0" distB="0" distL="0" distR="0" wp14:anchorId="7C635744" wp14:editId="0A17CD2F">
                  <wp:extent cx="5731510" cy="4298950"/>
                  <wp:effectExtent l="0" t="0" r="254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 Areas V1.jpg"/>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FB6EBA" w:rsidRPr="00FB6EBA" w:rsidRDefault="00FB6EBA" w:rsidP="00FB6EBA">
            <w:pPr>
              <w:jc w:val="center"/>
              <w:rPr>
                <w:rFonts w:ascii="Calibri" w:eastAsia="Calibri" w:hAnsi="Calibri" w:cs="Calibri"/>
                <w:noProof/>
                <w:color w:val="000000"/>
                <w:sz w:val="10"/>
                <w:szCs w:val="10"/>
                <w:lang w:eastAsia="en-GB"/>
              </w:rPr>
            </w:pPr>
          </w:p>
        </w:tc>
      </w:tr>
    </w:tbl>
    <w:p w:rsidR="00676BC9" w:rsidRDefault="00676BC9"/>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36"/>
        <w:gridCol w:w="5306"/>
      </w:tblGrid>
      <w:tr w:rsidR="00676BC9" w:rsidRPr="00E112C8" w:rsidTr="00663E89">
        <w:trPr>
          <w:trHeight w:val="98"/>
        </w:trPr>
        <w:tc>
          <w:tcPr>
            <w:tcW w:w="9242" w:type="dxa"/>
            <w:gridSpan w:val="2"/>
            <w:tcBorders>
              <w:bottom w:val="nil"/>
            </w:tcBorders>
            <w:shd w:val="clear" w:color="auto" w:fill="4F6228" w:themeFill="accent3" w:themeFillShade="80"/>
          </w:tcPr>
          <w:p w:rsidR="00676BC9" w:rsidRPr="00E112C8" w:rsidRDefault="00676BC9" w:rsidP="000F68E5">
            <w:pPr>
              <w:rPr>
                <w:rFonts w:ascii="Calibri" w:eastAsia="Calibri" w:hAnsi="Calibri" w:cs="Calibri"/>
                <w:b/>
                <w:noProof/>
                <w:color w:val="FFFFFF" w:themeColor="background1"/>
                <w:szCs w:val="22"/>
                <w:lang w:eastAsia="en-GB"/>
              </w:rPr>
            </w:pPr>
            <w:r>
              <w:rPr>
                <w:rFonts w:ascii="Calibri" w:eastAsia="Calibri" w:hAnsi="Calibri" w:cs="Calibri"/>
                <w:b/>
                <w:noProof/>
                <w:color w:val="FFFFFF" w:themeColor="background1"/>
                <w:szCs w:val="22"/>
                <w:lang w:eastAsia="en-GB"/>
              </w:rPr>
              <w:t>Cleaner Greener Oxford</w:t>
            </w:r>
          </w:p>
        </w:tc>
      </w:tr>
      <w:tr w:rsidR="00676BC9" w:rsidTr="00FB6EBA">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2D69B" w:themeFill="accent3" w:themeFillTint="99"/>
          </w:tcPr>
          <w:p w:rsidR="00676BC9" w:rsidRDefault="00676BC9"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Carbon emissions per capita </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6E3BC" w:themeFill="accent3" w:themeFillTint="66"/>
          </w:tcPr>
          <w:p w:rsidR="00676BC9" w:rsidRPr="00BD1832" w:rsidRDefault="00BD1832"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6.2</w:t>
            </w:r>
            <w:r w:rsidR="00143A70">
              <w:rPr>
                <w:rFonts w:ascii="Calibri" w:eastAsia="Calibri" w:hAnsi="Calibri" w:cs="Calibri"/>
                <w:noProof/>
                <w:color w:val="000000"/>
                <w:sz w:val="22"/>
                <w:szCs w:val="22"/>
                <w:lang w:eastAsia="en-GB"/>
              </w:rPr>
              <w:t xml:space="preserve"> </w:t>
            </w:r>
            <w:r w:rsidR="00B76280">
              <w:rPr>
                <w:rFonts w:ascii="Calibri" w:eastAsia="Calibri" w:hAnsi="Calibri" w:cs="Calibri"/>
                <w:noProof/>
                <w:color w:val="000000"/>
                <w:sz w:val="20"/>
                <w:szCs w:val="22"/>
                <w:lang w:eastAsia="en-GB"/>
              </w:rPr>
              <w:t xml:space="preserve">tonnes per resident </w:t>
            </w:r>
            <w:r>
              <w:rPr>
                <w:rFonts w:ascii="Calibri" w:eastAsia="Calibri" w:hAnsi="Calibri" w:cs="Calibri"/>
                <w:noProof/>
                <w:color w:val="000000"/>
                <w:sz w:val="22"/>
                <w:szCs w:val="22"/>
                <w:vertAlign w:val="superscript"/>
                <w:lang w:eastAsia="en-GB"/>
              </w:rPr>
              <w:t>6</w:t>
            </w:r>
          </w:p>
        </w:tc>
      </w:tr>
      <w:tr w:rsidR="00676BC9" w:rsidTr="00FB6EBA">
        <w:tc>
          <w:tcPr>
            <w:tcW w:w="39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2D69B" w:themeFill="accent3" w:themeFillTint="99"/>
          </w:tcPr>
          <w:p w:rsidR="00676BC9" w:rsidRDefault="00E42B14"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of Oxford’s residents travelling to work by car</w:t>
            </w:r>
          </w:p>
        </w:tc>
        <w:tc>
          <w:tcPr>
            <w:tcW w:w="530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6E3BC" w:themeFill="accent3" w:themeFillTint="66"/>
          </w:tcPr>
          <w:p w:rsidR="00676BC9" w:rsidRPr="00E42B14" w:rsidRDefault="00E42B14" w:rsidP="000F68E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20%</w:t>
            </w:r>
            <w:r>
              <w:rPr>
                <w:rFonts w:ascii="Calibri" w:eastAsia="Calibri" w:hAnsi="Calibri" w:cs="Calibri"/>
                <w:noProof/>
                <w:color w:val="000000"/>
                <w:sz w:val="22"/>
                <w:szCs w:val="22"/>
                <w:vertAlign w:val="superscript"/>
                <w:lang w:eastAsia="en-GB"/>
              </w:rPr>
              <w:t>1</w:t>
            </w:r>
          </w:p>
        </w:tc>
      </w:tr>
    </w:tbl>
    <w:p w:rsidR="00676BC9" w:rsidRPr="0064398B" w:rsidRDefault="00676BC9">
      <w:pPr>
        <w:rPr>
          <w:sz w:val="18"/>
        </w:rPr>
      </w:pPr>
    </w:p>
    <w:p w:rsidR="00E42B14" w:rsidRDefault="00E42B14" w:rsidP="00E42B14">
      <w:pPr>
        <w:rPr>
          <w:rFonts w:ascii="Calibri" w:eastAsia="Calibri" w:hAnsi="Calibri" w:cs="Calibri"/>
          <w:noProof/>
          <w:color w:val="000000"/>
          <w:sz w:val="20"/>
          <w:szCs w:val="22"/>
          <w:lang w:eastAsia="en-GB"/>
        </w:rPr>
      </w:pPr>
      <w:r w:rsidRPr="00F64447">
        <w:rPr>
          <w:rFonts w:ascii="Calibri" w:eastAsia="Calibri" w:hAnsi="Calibri" w:cs="Calibri"/>
          <w:noProof/>
          <w:color w:val="000000"/>
          <w:sz w:val="20"/>
          <w:szCs w:val="22"/>
          <w:vertAlign w:val="superscript"/>
          <w:lang w:eastAsia="en-GB"/>
        </w:rPr>
        <w:t xml:space="preserve">1 </w:t>
      </w:r>
      <w:r w:rsidRPr="00F64447">
        <w:rPr>
          <w:rFonts w:ascii="Calibri" w:eastAsia="Calibri" w:hAnsi="Calibri" w:cs="Calibri"/>
          <w:noProof/>
          <w:color w:val="000000"/>
          <w:sz w:val="20"/>
          <w:szCs w:val="22"/>
          <w:lang w:eastAsia="en-GB"/>
        </w:rPr>
        <w:t xml:space="preserve">UK </w:t>
      </w:r>
      <w:r>
        <w:rPr>
          <w:rFonts w:ascii="Calibri" w:eastAsia="Calibri" w:hAnsi="Calibri" w:cs="Calibri"/>
          <w:noProof/>
          <w:color w:val="000000"/>
          <w:sz w:val="20"/>
          <w:szCs w:val="22"/>
          <w:lang w:eastAsia="en-GB"/>
        </w:rPr>
        <w:t>Census (2011)</w:t>
      </w:r>
    </w:p>
    <w:p w:rsidR="00676BC9" w:rsidRPr="00E42B14" w:rsidRDefault="00E42B14">
      <w:pPr>
        <w:rPr>
          <w:sz w:val="22"/>
        </w:rPr>
      </w:pPr>
      <w:r w:rsidRPr="00F64447">
        <w:rPr>
          <w:rFonts w:ascii="Calibri" w:eastAsia="Calibri" w:hAnsi="Calibri" w:cs="Calibri"/>
          <w:noProof/>
          <w:color w:val="000000"/>
          <w:sz w:val="20"/>
          <w:szCs w:val="22"/>
          <w:vertAlign w:val="superscript"/>
          <w:lang w:eastAsia="en-GB"/>
        </w:rPr>
        <w:t>2</w:t>
      </w:r>
      <w:r w:rsidRPr="00F64447">
        <w:rPr>
          <w:rFonts w:ascii="Calibri" w:eastAsia="Calibri" w:hAnsi="Calibri" w:cs="Calibri"/>
          <w:noProof/>
          <w:color w:val="000000"/>
          <w:sz w:val="20"/>
          <w:szCs w:val="22"/>
          <w:lang w:eastAsia="en-GB"/>
        </w:rPr>
        <w:t xml:space="preserve"> English Indices of Deprivation (2010)</w:t>
      </w:r>
    </w:p>
    <w:p w:rsidR="00676BC9" w:rsidRPr="00F64447" w:rsidRDefault="000F68E5">
      <w:pPr>
        <w:rPr>
          <w:rFonts w:asciiTheme="minorHAnsi" w:hAnsiTheme="minorHAnsi" w:cstheme="minorHAnsi"/>
          <w:sz w:val="20"/>
          <w:szCs w:val="22"/>
        </w:rPr>
      </w:pPr>
      <w:r w:rsidRPr="00F64447">
        <w:rPr>
          <w:rFonts w:asciiTheme="minorHAnsi" w:hAnsiTheme="minorHAnsi" w:cstheme="minorHAnsi"/>
          <w:sz w:val="20"/>
          <w:szCs w:val="22"/>
          <w:vertAlign w:val="superscript"/>
        </w:rPr>
        <w:t>3</w:t>
      </w:r>
      <w:r w:rsidRPr="00F64447">
        <w:rPr>
          <w:rFonts w:asciiTheme="minorHAnsi" w:hAnsiTheme="minorHAnsi" w:cstheme="minorHAnsi"/>
          <w:sz w:val="20"/>
          <w:szCs w:val="22"/>
        </w:rPr>
        <w:t xml:space="preserve"> Inter</w:t>
      </w:r>
      <w:r w:rsidR="00253DA0" w:rsidRPr="00F64447">
        <w:rPr>
          <w:rFonts w:asciiTheme="minorHAnsi" w:hAnsiTheme="minorHAnsi" w:cstheme="minorHAnsi"/>
          <w:sz w:val="20"/>
          <w:szCs w:val="22"/>
        </w:rPr>
        <w:t xml:space="preserve"> Departmental Business Register</w:t>
      </w:r>
      <w:r w:rsidRPr="00F64447">
        <w:rPr>
          <w:rFonts w:asciiTheme="minorHAnsi" w:hAnsiTheme="minorHAnsi" w:cstheme="minorHAnsi"/>
          <w:sz w:val="20"/>
          <w:szCs w:val="22"/>
        </w:rPr>
        <w:t xml:space="preserve"> 2013 </w:t>
      </w:r>
      <w:r w:rsidR="00253DA0" w:rsidRPr="00F64447">
        <w:rPr>
          <w:rFonts w:asciiTheme="minorHAnsi" w:hAnsiTheme="minorHAnsi" w:cstheme="minorHAnsi"/>
          <w:sz w:val="20"/>
          <w:szCs w:val="22"/>
        </w:rPr>
        <w:t xml:space="preserve">(Office </w:t>
      </w:r>
      <w:r w:rsidRPr="00F64447">
        <w:rPr>
          <w:rFonts w:asciiTheme="minorHAnsi" w:hAnsiTheme="minorHAnsi" w:cstheme="minorHAnsi"/>
          <w:sz w:val="20"/>
          <w:szCs w:val="22"/>
        </w:rPr>
        <w:t>f</w:t>
      </w:r>
      <w:r w:rsidR="00253DA0" w:rsidRPr="00F64447">
        <w:rPr>
          <w:rFonts w:asciiTheme="minorHAnsi" w:hAnsiTheme="minorHAnsi" w:cstheme="minorHAnsi"/>
          <w:sz w:val="20"/>
          <w:szCs w:val="22"/>
        </w:rPr>
        <w:t>or</w:t>
      </w:r>
      <w:r w:rsidRPr="00F64447">
        <w:rPr>
          <w:rFonts w:asciiTheme="minorHAnsi" w:hAnsiTheme="minorHAnsi" w:cstheme="minorHAnsi"/>
          <w:sz w:val="20"/>
          <w:szCs w:val="22"/>
        </w:rPr>
        <w:t xml:space="preserve"> National Statistics)</w:t>
      </w:r>
    </w:p>
    <w:p w:rsidR="00F64447" w:rsidRPr="00F64447" w:rsidRDefault="00253DA0">
      <w:pPr>
        <w:rPr>
          <w:rFonts w:asciiTheme="minorHAnsi" w:hAnsiTheme="minorHAnsi" w:cstheme="minorHAnsi"/>
          <w:sz w:val="20"/>
          <w:szCs w:val="22"/>
        </w:rPr>
      </w:pPr>
      <w:r w:rsidRPr="00F64447">
        <w:rPr>
          <w:rFonts w:asciiTheme="minorHAnsi" w:hAnsiTheme="minorHAnsi" w:cstheme="minorHAnsi"/>
          <w:sz w:val="20"/>
          <w:szCs w:val="22"/>
          <w:vertAlign w:val="superscript"/>
        </w:rPr>
        <w:t>4</w:t>
      </w:r>
      <w:r w:rsidR="00F64447" w:rsidRPr="00F64447">
        <w:rPr>
          <w:rFonts w:asciiTheme="minorHAnsi" w:hAnsiTheme="minorHAnsi" w:cstheme="minorHAnsi"/>
          <w:sz w:val="20"/>
          <w:szCs w:val="22"/>
          <w:vertAlign w:val="superscript"/>
        </w:rPr>
        <w:t xml:space="preserve"> </w:t>
      </w:r>
      <w:r w:rsidRPr="00F64447">
        <w:rPr>
          <w:rFonts w:asciiTheme="minorHAnsi" w:hAnsiTheme="minorHAnsi" w:cstheme="minorHAnsi"/>
          <w:sz w:val="20"/>
          <w:szCs w:val="22"/>
        </w:rPr>
        <w:t>Business Register and Employment Survey 2011 (Office for National Statistics)</w:t>
      </w:r>
    </w:p>
    <w:p w:rsidR="00676BC9" w:rsidRDefault="00F64447">
      <w:pPr>
        <w:rPr>
          <w:rFonts w:asciiTheme="minorHAnsi" w:hAnsiTheme="minorHAnsi" w:cstheme="minorHAnsi"/>
          <w:sz w:val="20"/>
          <w:szCs w:val="22"/>
        </w:rPr>
      </w:pPr>
      <w:r w:rsidRPr="00F64447">
        <w:rPr>
          <w:rFonts w:asciiTheme="minorHAnsi" w:hAnsiTheme="minorHAnsi" w:cstheme="minorHAnsi"/>
          <w:sz w:val="20"/>
          <w:szCs w:val="22"/>
          <w:vertAlign w:val="superscript"/>
        </w:rPr>
        <w:t>5</w:t>
      </w:r>
      <w:r w:rsidRPr="00F64447">
        <w:rPr>
          <w:rFonts w:asciiTheme="minorHAnsi" w:hAnsiTheme="minorHAnsi" w:cstheme="minorHAnsi"/>
          <w:sz w:val="20"/>
          <w:szCs w:val="22"/>
        </w:rPr>
        <w:t xml:space="preserve"> </w:t>
      </w:r>
      <w:r w:rsidR="00253DA0" w:rsidRPr="00F64447">
        <w:rPr>
          <w:rFonts w:asciiTheme="minorHAnsi" w:hAnsiTheme="minorHAnsi" w:cstheme="minorHAnsi"/>
          <w:sz w:val="20"/>
          <w:szCs w:val="22"/>
        </w:rPr>
        <w:t>O</w:t>
      </w:r>
      <w:r w:rsidR="00CD6163">
        <w:rPr>
          <w:rFonts w:asciiTheme="minorHAnsi" w:hAnsiTheme="minorHAnsi" w:cstheme="minorHAnsi"/>
          <w:sz w:val="20"/>
          <w:szCs w:val="22"/>
        </w:rPr>
        <w:t xml:space="preserve">xford </w:t>
      </w:r>
      <w:proofErr w:type="gramStart"/>
      <w:r w:rsidR="00CD6163">
        <w:rPr>
          <w:rFonts w:asciiTheme="minorHAnsi" w:hAnsiTheme="minorHAnsi" w:cstheme="minorHAnsi"/>
          <w:sz w:val="20"/>
          <w:szCs w:val="22"/>
        </w:rPr>
        <w:t>Profile</w:t>
      </w:r>
      <w:proofErr w:type="gramEnd"/>
      <w:r w:rsidR="00CD6163">
        <w:rPr>
          <w:rFonts w:asciiTheme="minorHAnsi" w:hAnsiTheme="minorHAnsi" w:cstheme="minorHAnsi"/>
          <w:sz w:val="20"/>
          <w:szCs w:val="22"/>
        </w:rPr>
        <w:t xml:space="preserve"> 2013</w:t>
      </w:r>
    </w:p>
    <w:p w:rsidR="00143A70" w:rsidRPr="00FB6EBA" w:rsidRDefault="00BD1832">
      <w:pPr>
        <w:rPr>
          <w:rFonts w:asciiTheme="minorHAnsi" w:hAnsiTheme="minorHAnsi" w:cstheme="minorHAnsi"/>
          <w:sz w:val="20"/>
          <w:szCs w:val="22"/>
        </w:rPr>
      </w:pPr>
      <w:r>
        <w:rPr>
          <w:rFonts w:asciiTheme="minorHAnsi" w:hAnsiTheme="minorHAnsi" w:cstheme="minorHAnsi"/>
          <w:sz w:val="20"/>
          <w:szCs w:val="22"/>
          <w:vertAlign w:val="superscript"/>
        </w:rPr>
        <w:t>6</w:t>
      </w:r>
      <w:r>
        <w:rPr>
          <w:rFonts w:asciiTheme="minorHAnsi" w:hAnsiTheme="minorHAnsi" w:cstheme="minorHAnsi"/>
          <w:sz w:val="20"/>
          <w:szCs w:val="22"/>
        </w:rPr>
        <w:t xml:space="preserve"> Oxford City Council Home Energy Conservation Act Further Report March 2013</w:t>
      </w:r>
    </w:p>
    <w:tbl>
      <w:tblPr>
        <w:tblStyle w:val="TableGrid"/>
        <w:tblW w:w="0" w:type="auto"/>
        <w:tblLook w:val="04A0" w:firstRow="1" w:lastRow="0" w:firstColumn="1" w:lastColumn="0" w:noHBand="0" w:noVBand="1"/>
      </w:tblPr>
      <w:tblGrid>
        <w:gridCol w:w="3369"/>
        <w:gridCol w:w="5873"/>
      </w:tblGrid>
      <w:tr w:rsidR="00BD153F" w:rsidTr="00893565">
        <w:tc>
          <w:tcPr>
            <w:tcW w:w="9242" w:type="dxa"/>
            <w:gridSpan w:val="2"/>
            <w:tcBorders>
              <w:top w:val="nil"/>
              <w:left w:val="nil"/>
              <w:bottom w:val="single" w:sz="4" w:space="0" w:color="D9D9D9" w:themeColor="background1" w:themeShade="D9"/>
              <w:right w:val="nil"/>
            </w:tcBorders>
            <w:shd w:val="clear" w:color="auto" w:fill="984806" w:themeFill="accent6" w:themeFillShade="80"/>
          </w:tcPr>
          <w:p w:rsidR="00BD153F" w:rsidRPr="00BD153F" w:rsidRDefault="00280EB5" w:rsidP="00A31762">
            <w:pPr>
              <w:rPr>
                <w:rFonts w:ascii="Calibri" w:eastAsia="Calibri" w:hAnsi="Calibri" w:cs="Calibri"/>
                <w:b/>
                <w:noProof/>
                <w:color w:val="FFFFFF" w:themeColor="background1"/>
                <w:sz w:val="22"/>
                <w:szCs w:val="22"/>
                <w:lang w:eastAsia="en-GB"/>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34016" behindDoc="0" locked="0" layoutInCell="1" allowOverlap="1" wp14:anchorId="4E2732C1" wp14:editId="50D2F62C">
                      <wp:simplePos x="0" y="0"/>
                      <wp:positionH relativeFrom="column">
                        <wp:posOffset>4175216</wp:posOffset>
                      </wp:positionH>
                      <wp:positionV relativeFrom="paragraph">
                        <wp:posOffset>-605790</wp:posOffset>
                      </wp:positionV>
                      <wp:extent cx="1722755"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280EB5">
                                  <w:pPr>
                                    <w:jc w:val="right"/>
                                    <w:rPr>
                                      <w:b/>
                                      <w:color w:val="7F7F7F" w:themeColor="text1" w:themeTint="80"/>
                                    </w:rPr>
                                  </w:pPr>
                                  <w:r w:rsidRPr="00280EB5">
                                    <w:rPr>
                                      <w:b/>
                                      <w:color w:val="595959" w:themeColor="text1" w:themeTint="A6"/>
                                    </w:rPr>
                                    <w:t>Oxford Snapsho</w:t>
                                  </w:r>
                                  <w:r w:rsidRPr="00280EB5">
                                    <w:rPr>
                                      <w:b/>
                                      <w:color w:val="7F7F7F" w:themeColor="text1" w:themeTint="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28.75pt;margin-top:-47.7pt;width:135.65pt;height:27.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" fillcolor="window" stroked="f" strokeweight=".5pt">
                      <v:textbox>
                        <w:txbxContent>
                          <w:p w:rsidR="000D3CFF" w:rsidRPr="00280EB5" w:rsidRDefault="000D3CFF" w:rsidP="00280EB5">
                            <w:pPr>
                              <w:jc w:val="right"/>
                              <w:rPr>
                                <w:b/>
                                <w:color w:val="7F7F7F" w:themeColor="text1" w:themeTint="80"/>
                              </w:rPr>
                            </w:pPr>
                            <w:r w:rsidRPr="00280EB5">
                              <w:rPr>
                                <w:b/>
                                <w:color w:val="595959" w:themeColor="text1" w:themeTint="A6"/>
                              </w:rPr>
                              <w:t>Oxford Snapsho</w:t>
                            </w:r>
                            <w:r w:rsidRPr="00280EB5">
                              <w:rPr>
                                <w:b/>
                                <w:color w:val="7F7F7F" w:themeColor="text1" w:themeTint="80"/>
                              </w:rPr>
                              <w:t>t</w:t>
                            </w:r>
                          </w:p>
                        </w:txbxContent>
                      </v:textbox>
                    </v:shape>
                  </w:pict>
                </mc:Fallback>
              </mc:AlternateContent>
            </w:r>
            <w:r w:rsidR="00BD153F" w:rsidRPr="00DB6982">
              <w:rPr>
                <w:rFonts w:ascii="Calibri" w:eastAsia="Calibri" w:hAnsi="Calibri" w:cs="Calibri"/>
                <w:b/>
                <w:noProof/>
                <w:color w:val="FFFFFF" w:themeColor="background1"/>
                <w:szCs w:val="22"/>
                <w:lang w:eastAsia="en-GB"/>
              </w:rPr>
              <w:t>Meeting Housing Needs</w:t>
            </w:r>
          </w:p>
        </w:tc>
      </w:tr>
      <w:tr w:rsidR="00E65726" w:rsidTr="00FB6EBA">
        <w:tc>
          <w:tcPr>
            <w:tcW w:w="33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ABF8F" w:themeFill="accent6" w:themeFillTint="99"/>
          </w:tcPr>
          <w:p w:rsidR="00E65726" w:rsidRDefault="00E65726"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Total number of households</w:t>
            </w:r>
          </w:p>
        </w:tc>
        <w:tc>
          <w:tcPr>
            <w:tcW w:w="587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BD4B4" w:themeFill="accent6" w:themeFillTint="66"/>
          </w:tcPr>
          <w:p w:rsidR="00E65726" w:rsidRPr="00DA25B4" w:rsidRDefault="00DA25B4"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55,400</w:t>
            </w:r>
            <w:r>
              <w:rPr>
                <w:rFonts w:ascii="Calibri" w:eastAsia="Calibri" w:hAnsi="Calibri" w:cs="Calibri"/>
                <w:noProof/>
                <w:color w:val="000000"/>
                <w:sz w:val="22"/>
                <w:szCs w:val="22"/>
                <w:vertAlign w:val="superscript"/>
                <w:lang w:eastAsia="en-GB"/>
              </w:rPr>
              <w:t>1</w:t>
            </w:r>
          </w:p>
        </w:tc>
      </w:tr>
      <w:tr w:rsidR="00E65726" w:rsidTr="00FB6EBA">
        <w:tc>
          <w:tcPr>
            <w:tcW w:w="33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ABF8F" w:themeFill="accent6" w:themeFillTint="99"/>
          </w:tcPr>
          <w:p w:rsidR="00E65726" w:rsidRDefault="005438DA"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Housing t</w:t>
            </w:r>
            <w:r w:rsidR="00E65726">
              <w:rPr>
                <w:rFonts w:ascii="Calibri" w:eastAsia="Calibri" w:hAnsi="Calibri" w:cs="Calibri"/>
                <w:noProof/>
                <w:color w:val="000000"/>
                <w:sz w:val="22"/>
                <w:szCs w:val="22"/>
                <w:lang w:eastAsia="en-GB"/>
              </w:rPr>
              <w:t xml:space="preserve">enure </w:t>
            </w:r>
            <w:r>
              <w:rPr>
                <w:rFonts w:ascii="Calibri" w:eastAsia="Calibri" w:hAnsi="Calibri" w:cs="Calibri"/>
                <w:noProof/>
                <w:color w:val="000000"/>
                <w:sz w:val="22"/>
                <w:szCs w:val="22"/>
                <w:lang w:eastAsia="en-GB"/>
              </w:rPr>
              <w:t xml:space="preserve">changes </w:t>
            </w:r>
            <w:r w:rsidR="00E65726">
              <w:rPr>
                <w:rFonts w:ascii="Calibri" w:eastAsia="Calibri" w:hAnsi="Calibri" w:cs="Calibri"/>
                <w:noProof/>
                <w:color w:val="000000"/>
                <w:sz w:val="22"/>
                <w:szCs w:val="22"/>
                <w:lang w:eastAsia="en-GB"/>
              </w:rPr>
              <w:t>over time</w:t>
            </w:r>
          </w:p>
        </w:tc>
        <w:tc>
          <w:tcPr>
            <w:tcW w:w="5873" w:type="dxa"/>
            <w:tcBorders>
              <w:top w:val="nil"/>
              <w:left w:val="single" w:sz="4" w:space="0" w:color="D9D9D9" w:themeColor="background1" w:themeShade="D9"/>
              <w:bottom w:val="nil"/>
              <w:right w:val="nil"/>
            </w:tcBorders>
            <w:shd w:val="clear" w:color="auto" w:fill="FBD4B4" w:themeFill="accent6" w:themeFillTint="66"/>
          </w:tcPr>
          <w:p w:rsidR="00E65726" w:rsidRDefault="00E65726" w:rsidP="00A31762">
            <w:pPr>
              <w:rPr>
                <w:rFonts w:ascii="Calibri" w:eastAsia="Calibri" w:hAnsi="Calibri" w:cs="Calibri"/>
                <w:noProof/>
                <w:color w:val="000000"/>
                <w:sz w:val="22"/>
                <w:szCs w:val="22"/>
                <w:lang w:eastAsia="en-GB"/>
              </w:rPr>
            </w:pPr>
          </w:p>
        </w:tc>
      </w:tr>
      <w:tr w:rsidR="00E65726" w:rsidTr="00FB6EBA">
        <w:tc>
          <w:tcPr>
            <w:tcW w:w="9242" w:type="dxa"/>
            <w:gridSpan w:val="2"/>
            <w:tcBorders>
              <w:top w:val="nil"/>
              <w:left w:val="nil"/>
              <w:bottom w:val="nil"/>
              <w:right w:val="nil"/>
            </w:tcBorders>
            <w:shd w:val="clear" w:color="auto" w:fill="FBD4B4" w:themeFill="accent6" w:themeFillTint="66"/>
          </w:tcPr>
          <w:p w:rsidR="00E65726" w:rsidRPr="006E25C0" w:rsidRDefault="00E65726" w:rsidP="00A31762">
            <w:pPr>
              <w:rPr>
                <w:rFonts w:ascii="Calibri" w:eastAsia="Calibri" w:hAnsi="Calibri" w:cs="Calibri"/>
                <w:noProof/>
                <w:color w:val="000000"/>
                <w:sz w:val="18"/>
                <w:szCs w:val="22"/>
                <w:lang w:eastAsia="en-GB"/>
              </w:rPr>
            </w:pPr>
          </w:p>
          <w:p w:rsidR="00E65726" w:rsidRDefault="00BD1832" w:rsidP="00E65726">
            <w:pPr>
              <w:jc w:val="cente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mc:AlternateContent>
                <mc:Choice Requires="wps">
                  <w:drawing>
                    <wp:anchor distT="0" distB="0" distL="114300" distR="114300" simplePos="0" relativeHeight="251659264" behindDoc="0" locked="0" layoutInCell="1" allowOverlap="1" wp14:anchorId="483ACA94" wp14:editId="127A6C61">
                      <wp:simplePos x="0" y="0"/>
                      <wp:positionH relativeFrom="column">
                        <wp:posOffset>4924425</wp:posOffset>
                      </wp:positionH>
                      <wp:positionV relativeFrom="paragraph">
                        <wp:posOffset>-5080</wp:posOffset>
                      </wp:positionV>
                      <wp:extent cx="443865" cy="394970"/>
                      <wp:effectExtent l="0" t="0" r="13335" b="24130"/>
                      <wp:wrapNone/>
                      <wp:docPr id="6" name="Rectangle 6"/>
                      <wp:cNvGraphicFramePr/>
                      <a:graphic xmlns:a="http://schemas.openxmlformats.org/drawingml/2006/main">
                        <a:graphicData uri="http://schemas.microsoft.com/office/word/2010/wordprocessingShape">
                          <wps:wsp>
                            <wps:cNvSpPr/>
                            <wps:spPr>
                              <a:xfrm>
                                <a:off x="0" y="0"/>
                                <a:ext cx="44386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7.75pt;margin-top:-.4pt;width:34.9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" fillcolor="white [3212]" strokecolor="white [3212]" strokeweight="2pt"/>
                  </w:pict>
                </mc:Fallback>
              </mc:AlternateContent>
            </w:r>
            <w:r w:rsidR="00E65726">
              <w:rPr>
                <w:noProof/>
                <w:lang w:eastAsia="en-GB"/>
              </w:rPr>
              <w:drawing>
                <wp:inline distT="0" distB="0" distL="0" distR="0" wp14:anchorId="7D9C8C31" wp14:editId="79BB3486">
                  <wp:extent cx="5039383" cy="25622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schemeClr val="accent6">
                                <a:shade val="45000"/>
                                <a:satMod val="135000"/>
                              </a:schemeClr>
                              <a:prstClr val="white"/>
                            </a:duotone>
                          </a:blip>
                          <a:stretch>
                            <a:fillRect/>
                          </a:stretch>
                        </pic:blipFill>
                        <pic:spPr>
                          <a:xfrm>
                            <a:off x="0" y="0"/>
                            <a:ext cx="5043622" cy="2564380"/>
                          </a:xfrm>
                          <a:prstGeom prst="rect">
                            <a:avLst/>
                          </a:prstGeom>
                        </pic:spPr>
                      </pic:pic>
                    </a:graphicData>
                  </a:graphic>
                </wp:inline>
              </w:drawing>
            </w:r>
          </w:p>
          <w:p w:rsidR="00E65726" w:rsidRPr="006E25C0" w:rsidRDefault="00E65726" w:rsidP="00E65726">
            <w:pPr>
              <w:rPr>
                <w:rFonts w:ascii="Calibri" w:eastAsia="Calibri" w:hAnsi="Calibri" w:cs="Calibri"/>
                <w:noProof/>
                <w:color w:val="000000"/>
                <w:sz w:val="12"/>
                <w:szCs w:val="22"/>
                <w:lang w:eastAsia="en-GB"/>
              </w:rPr>
            </w:pPr>
          </w:p>
          <w:p w:rsidR="00E65726" w:rsidRDefault="00E65726" w:rsidP="00BD1832">
            <w:pPr>
              <w:ind w:left="284" w:right="237"/>
              <w:jc w:val="both"/>
              <w:rPr>
                <w:rFonts w:ascii="Calibri" w:eastAsia="Calibri" w:hAnsi="Calibri" w:cs="Calibri"/>
                <w:noProof/>
                <w:color w:val="000000"/>
                <w:sz w:val="22"/>
                <w:szCs w:val="22"/>
                <w:lang w:eastAsia="en-GB"/>
              </w:rPr>
            </w:pPr>
            <w:r w:rsidRPr="00E65726">
              <w:rPr>
                <w:rFonts w:ascii="Calibri" w:eastAsia="Calibri" w:hAnsi="Calibri" w:cs="Calibri"/>
                <w:noProof/>
                <w:color w:val="000000"/>
                <w:sz w:val="22"/>
                <w:szCs w:val="22"/>
                <w:lang w:eastAsia="en-GB"/>
              </w:rPr>
              <w:t>Over the last 20 years the proportion of Oxford</w:t>
            </w:r>
            <w:r w:rsidR="00E71A9B">
              <w:rPr>
                <w:rFonts w:ascii="Calibri" w:eastAsia="Calibri" w:hAnsi="Calibri" w:cs="Calibri"/>
                <w:noProof/>
                <w:color w:val="000000"/>
                <w:sz w:val="22"/>
                <w:szCs w:val="22"/>
                <w:lang w:eastAsia="en-GB"/>
              </w:rPr>
              <w:t>’s</w:t>
            </w:r>
            <w:r w:rsidRPr="00E65726">
              <w:rPr>
                <w:rFonts w:ascii="Calibri" w:eastAsia="Calibri" w:hAnsi="Calibri" w:cs="Calibri"/>
                <w:noProof/>
                <w:color w:val="000000"/>
                <w:sz w:val="22"/>
                <w:szCs w:val="22"/>
                <w:lang w:eastAsia="en-GB"/>
              </w:rPr>
              <w:t xml:space="preserve"> households who own their home has declined from 55% in 1991 to 47% in 2011. Whilst the proportion who live in social rented property (rented from the council or a housing association) has declined since 1981, the proportion of households living in private rented homes has </w:t>
            </w:r>
            <w:r w:rsidR="00E71A9B">
              <w:rPr>
                <w:rFonts w:ascii="Calibri" w:eastAsia="Calibri" w:hAnsi="Calibri" w:cs="Calibri"/>
                <w:noProof/>
                <w:color w:val="000000"/>
                <w:sz w:val="22"/>
                <w:szCs w:val="22"/>
                <w:lang w:eastAsia="en-GB"/>
              </w:rPr>
              <w:t>almost doubled from 16% to 28%,</w:t>
            </w:r>
            <w:r w:rsidRPr="00E65726">
              <w:rPr>
                <w:rFonts w:ascii="Calibri" w:eastAsia="Calibri" w:hAnsi="Calibri" w:cs="Calibri"/>
                <w:noProof/>
                <w:color w:val="000000"/>
                <w:sz w:val="22"/>
                <w:szCs w:val="22"/>
                <w:lang w:eastAsia="en-GB"/>
              </w:rPr>
              <w:t xml:space="preserve"> meaning that as of 2011 more households </w:t>
            </w:r>
            <w:r w:rsidR="00EB05F5">
              <w:rPr>
                <w:rFonts w:ascii="Calibri" w:eastAsia="Calibri" w:hAnsi="Calibri" w:cs="Calibri"/>
                <w:noProof/>
                <w:color w:val="000000"/>
                <w:sz w:val="22"/>
                <w:szCs w:val="22"/>
                <w:lang w:eastAsia="en-GB"/>
              </w:rPr>
              <w:t>now rent than own</w:t>
            </w:r>
            <w:r w:rsidRPr="00E65726">
              <w:rPr>
                <w:rFonts w:ascii="Calibri" w:eastAsia="Calibri" w:hAnsi="Calibri" w:cs="Calibri"/>
                <w:noProof/>
                <w:color w:val="000000"/>
                <w:sz w:val="22"/>
                <w:szCs w:val="22"/>
                <w:lang w:eastAsia="en-GB"/>
              </w:rPr>
              <w:t xml:space="preserve"> their home.</w:t>
            </w:r>
          </w:p>
          <w:p w:rsidR="00E112C8" w:rsidRPr="00E112C8" w:rsidRDefault="00E112C8" w:rsidP="00E65726">
            <w:pPr>
              <w:jc w:val="both"/>
              <w:rPr>
                <w:rFonts w:ascii="Calibri" w:eastAsia="Calibri" w:hAnsi="Calibri" w:cs="Calibri"/>
                <w:noProof/>
                <w:color w:val="000000"/>
                <w:sz w:val="12"/>
                <w:szCs w:val="22"/>
                <w:lang w:eastAsia="en-GB"/>
              </w:rPr>
            </w:pPr>
          </w:p>
        </w:tc>
      </w:tr>
      <w:tr w:rsidR="00E112C8" w:rsidTr="00FB6EBA">
        <w:tc>
          <w:tcPr>
            <w:tcW w:w="3369" w:type="dxa"/>
            <w:tcBorders>
              <w:top w:val="nil"/>
              <w:left w:val="nil"/>
              <w:bottom w:val="single" w:sz="4" w:space="0" w:color="D9D9D9" w:themeColor="background1" w:themeShade="D9"/>
              <w:right w:val="single" w:sz="4" w:space="0" w:color="D9D9D9" w:themeColor="background1" w:themeShade="D9"/>
            </w:tcBorders>
            <w:shd w:val="clear" w:color="auto" w:fill="FABF8F" w:themeFill="accent6" w:themeFillTint="99"/>
          </w:tcPr>
          <w:p w:rsidR="00E112C8" w:rsidRDefault="00E112C8" w:rsidP="00A31762">
            <w:pPr>
              <w:rPr>
                <w:rFonts w:ascii="Calibri" w:eastAsia="Calibri" w:hAnsi="Calibri" w:cs="Calibri"/>
                <w:noProof/>
                <w:color w:val="000000"/>
                <w:sz w:val="22"/>
                <w:szCs w:val="22"/>
                <w:lang w:eastAsia="en-GB"/>
              </w:rPr>
            </w:pPr>
            <w:r w:rsidRPr="00E112C8">
              <w:rPr>
                <w:rFonts w:ascii="Calibri" w:eastAsia="Calibri" w:hAnsi="Calibri" w:cs="Calibri"/>
                <w:noProof/>
                <w:color w:val="000000"/>
                <w:sz w:val="22"/>
                <w:szCs w:val="22"/>
                <w:lang w:eastAsia="en-GB"/>
              </w:rPr>
              <w:t>Mean average house price</w:t>
            </w:r>
          </w:p>
        </w:tc>
        <w:tc>
          <w:tcPr>
            <w:tcW w:w="5873" w:type="dxa"/>
            <w:tcBorders>
              <w:top w:val="nil"/>
              <w:left w:val="single" w:sz="4" w:space="0" w:color="D9D9D9" w:themeColor="background1" w:themeShade="D9"/>
              <w:bottom w:val="single" w:sz="4" w:space="0" w:color="D9D9D9" w:themeColor="background1" w:themeShade="D9"/>
              <w:right w:val="nil"/>
            </w:tcBorders>
            <w:shd w:val="clear" w:color="auto" w:fill="FBD4B4" w:themeFill="accent6" w:themeFillTint="66"/>
          </w:tcPr>
          <w:p w:rsidR="00E112C8" w:rsidRPr="00893565" w:rsidRDefault="00200332" w:rsidP="0020033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£355,884</w:t>
            </w:r>
            <w:r w:rsidR="00893565">
              <w:rPr>
                <w:rFonts w:ascii="Calibri" w:eastAsia="Calibri" w:hAnsi="Calibri" w:cs="Calibri"/>
                <w:noProof/>
                <w:color w:val="000000"/>
                <w:sz w:val="22"/>
                <w:szCs w:val="22"/>
                <w:vertAlign w:val="superscript"/>
                <w:lang w:eastAsia="en-GB"/>
              </w:rPr>
              <w:t>7</w:t>
            </w:r>
            <w:r>
              <w:rPr>
                <w:rFonts w:ascii="Calibri" w:eastAsia="Calibri" w:hAnsi="Calibri" w:cs="Calibri"/>
                <w:noProof/>
                <w:color w:val="000000"/>
                <w:sz w:val="22"/>
                <w:szCs w:val="22"/>
                <w:lang w:eastAsia="en-GB"/>
              </w:rPr>
              <w:t xml:space="preserve">  (England: £246,764</w:t>
            </w:r>
            <w:r>
              <w:rPr>
                <w:rFonts w:ascii="Calibri" w:eastAsia="Calibri" w:hAnsi="Calibri" w:cs="Calibri"/>
                <w:noProof/>
                <w:color w:val="000000"/>
                <w:sz w:val="22"/>
                <w:szCs w:val="22"/>
                <w:vertAlign w:val="superscript"/>
                <w:lang w:eastAsia="en-GB"/>
              </w:rPr>
              <w:t>7</w:t>
            </w:r>
            <w:r w:rsidR="00893565">
              <w:rPr>
                <w:rFonts w:ascii="Calibri" w:eastAsia="Calibri" w:hAnsi="Calibri" w:cs="Calibri"/>
                <w:noProof/>
                <w:color w:val="000000"/>
                <w:sz w:val="22"/>
                <w:szCs w:val="22"/>
                <w:lang w:eastAsia="en-GB"/>
              </w:rPr>
              <w:t>)</w:t>
            </w:r>
          </w:p>
        </w:tc>
      </w:tr>
      <w:tr w:rsidR="00E112C8" w:rsidTr="00FB6EBA">
        <w:tc>
          <w:tcPr>
            <w:tcW w:w="33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ABF8F" w:themeFill="accent6" w:themeFillTint="99"/>
          </w:tcPr>
          <w:p w:rsidR="00E112C8" w:rsidRDefault="00E112C8" w:rsidP="00A31762">
            <w:pPr>
              <w:rPr>
                <w:rFonts w:ascii="Calibri" w:eastAsia="Calibri" w:hAnsi="Calibri" w:cs="Calibri"/>
                <w:noProof/>
                <w:color w:val="000000"/>
                <w:sz w:val="22"/>
                <w:szCs w:val="22"/>
                <w:lang w:eastAsia="en-GB"/>
              </w:rPr>
            </w:pPr>
            <w:r w:rsidRPr="00E112C8">
              <w:rPr>
                <w:rFonts w:ascii="Calibri" w:eastAsia="Calibri" w:hAnsi="Calibri" w:cs="Calibri"/>
                <w:noProof/>
                <w:color w:val="000000"/>
                <w:sz w:val="22"/>
                <w:szCs w:val="22"/>
                <w:lang w:eastAsia="en-GB"/>
              </w:rPr>
              <w:t>Median average house price</w:t>
            </w:r>
          </w:p>
        </w:tc>
        <w:tc>
          <w:tcPr>
            <w:tcW w:w="587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BD4B4" w:themeFill="accent6" w:themeFillTint="66"/>
          </w:tcPr>
          <w:p w:rsidR="00E112C8" w:rsidRPr="00893565" w:rsidRDefault="00200332" w:rsidP="00A31762">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£265,000</w:t>
            </w:r>
            <w:r w:rsidR="00893565">
              <w:rPr>
                <w:rFonts w:ascii="Calibri" w:eastAsia="Calibri" w:hAnsi="Calibri" w:cs="Calibri"/>
                <w:noProof/>
                <w:color w:val="000000"/>
                <w:sz w:val="22"/>
                <w:szCs w:val="22"/>
                <w:vertAlign w:val="superscript"/>
                <w:lang w:eastAsia="en-GB"/>
              </w:rPr>
              <w:t>8</w:t>
            </w:r>
            <w:r>
              <w:rPr>
                <w:rFonts w:ascii="Calibri" w:eastAsia="Calibri" w:hAnsi="Calibri" w:cs="Calibri"/>
                <w:noProof/>
                <w:color w:val="000000"/>
                <w:sz w:val="22"/>
                <w:szCs w:val="22"/>
                <w:lang w:eastAsia="en-GB"/>
              </w:rPr>
              <w:t xml:space="preserve">  (England: £184,000</w:t>
            </w:r>
            <w:r>
              <w:rPr>
                <w:rFonts w:ascii="Calibri" w:eastAsia="Calibri" w:hAnsi="Calibri" w:cs="Calibri"/>
                <w:noProof/>
                <w:color w:val="000000"/>
                <w:sz w:val="22"/>
                <w:szCs w:val="22"/>
                <w:vertAlign w:val="superscript"/>
                <w:lang w:eastAsia="en-GB"/>
              </w:rPr>
              <w:t>8</w:t>
            </w:r>
            <w:r w:rsidR="00893565">
              <w:rPr>
                <w:rFonts w:ascii="Calibri" w:eastAsia="Calibri" w:hAnsi="Calibri" w:cs="Calibri"/>
                <w:noProof/>
                <w:color w:val="000000"/>
                <w:sz w:val="22"/>
                <w:szCs w:val="22"/>
                <w:lang w:eastAsia="en-GB"/>
              </w:rPr>
              <w:t>)</w:t>
            </w:r>
          </w:p>
        </w:tc>
      </w:tr>
      <w:tr w:rsidR="00E112C8" w:rsidTr="00FB6EBA">
        <w:tc>
          <w:tcPr>
            <w:tcW w:w="33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ABF8F" w:themeFill="accent6" w:themeFillTint="99"/>
          </w:tcPr>
          <w:p w:rsidR="00E112C8" w:rsidRDefault="00E112C8" w:rsidP="00893565">
            <w:pPr>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 xml:space="preserve">House price </w:t>
            </w:r>
            <w:r w:rsidR="00893565">
              <w:rPr>
                <w:rFonts w:ascii="Calibri" w:eastAsia="Calibri" w:hAnsi="Calibri" w:cs="Calibri"/>
                <w:noProof/>
                <w:color w:val="000000"/>
                <w:sz w:val="22"/>
                <w:szCs w:val="22"/>
                <w:lang w:eastAsia="en-GB"/>
              </w:rPr>
              <w:t>affordability</w:t>
            </w:r>
          </w:p>
        </w:tc>
        <w:tc>
          <w:tcPr>
            <w:tcW w:w="5873" w:type="dxa"/>
            <w:tcBorders>
              <w:top w:val="single" w:sz="4" w:space="0" w:color="D9D9D9" w:themeColor="background1" w:themeShade="D9"/>
              <w:left w:val="single" w:sz="4" w:space="0" w:color="D9D9D9" w:themeColor="background1" w:themeShade="D9"/>
              <w:bottom w:val="nil"/>
              <w:right w:val="nil"/>
            </w:tcBorders>
            <w:shd w:val="clear" w:color="auto" w:fill="FBD4B4" w:themeFill="accent6" w:themeFillTint="66"/>
          </w:tcPr>
          <w:p w:rsidR="00E112C8" w:rsidRDefault="00893565" w:rsidP="00893565">
            <w:pPr>
              <w:tabs>
                <w:tab w:val="left" w:pos="930"/>
              </w:tabs>
              <w:rPr>
                <w:rFonts w:ascii="Calibri" w:eastAsia="Calibri" w:hAnsi="Calibri" w:cs="Calibri"/>
                <w:noProof/>
                <w:color w:val="000000"/>
                <w:sz w:val="22"/>
                <w:szCs w:val="22"/>
                <w:lang w:eastAsia="en-GB"/>
              </w:rPr>
            </w:pPr>
            <w:r>
              <w:rPr>
                <w:rFonts w:ascii="Calibri" w:eastAsia="Calibri" w:hAnsi="Calibri" w:cs="Calibri"/>
                <w:noProof/>
                <w:color w:val="000000"/>
                <w:sz w:val="22"/>
                <w:szCs w:val="22"/>
                <w:lang w:eastAsia="en-GB"/>
              </w:rPr>
              <w:tab/>
            </w:r>
          </w:p>
        </w:tc>
      </w:tr>
      <w:tr w:rsidR="00E112C8" w:rsidTr="00FB6EBA">
        <w:tc>
          <w:tcPr>
            <w:tcW w:w="9242" w:type="dxa"/>
            <w:gridSpan w:val="2"/>
            <w:tcBorders>
              <w:top w:val="nil"/>
              <w:left w:val="nil"/>
              <w:bottom w:val="nil"/>
              <w:right w:val="nil"/>
            </w:tcBorders>
            <w:shd w:val="clear" w:color="auto" w:fill="FBD4B4" w:themeFill="accent6" w:themeFillTint="66"/>
          </w:tcPr>
          <w:p w:rsidR="00E112C8" w:rsidRPr="006E25C0" w:rsidRDefault="00E112C8" w:rsidP="00A31762">
            <w:pPr>
              <w:rPr>
                <w:rFonts w:ascii="Calibri" w:eastAsia="Calibri" w:hAnsi="Calibri" w:cs="Calibri"/>
                <w:noProof/>
                <w:color w:val="000000"/>
                <w:sz w:val="12"/>
                <w:szCs w:val="22"/>
                <w:lang w:eastAsia="en-GB"/>
              </w:rPr>
            </w:pPr>
          </w:p>
          <w:p w:rsidR="00FD4103" w:rsidRDefault="006E25C0" w:rsidP="006E25C0">
            <w:pPr>
              <w:jc w:val="center"/>
              <w:rPr>
                <w:rFonts w:ascii="Calibri" w:eastAsia="Calibri" w:hAnsi="Calibri" w:cs="Calibri"/>
                <w:noProof/>
                <w:color w:val="000000"/>
                <w:sz w:val="22"/>
                <w:szCs w:val="22"/>
                <w:lang w:eastAsia="en-GB"/>
              </w:rPr>
            </w:pPr>
            <w:r>
              <w:rPr>
                <w:noProof/>
                <w:lang w:eastAsia="en-GB"/>
              </w:rPr>
              <w:drawing>
                <wp:inline distT="0" distB="0" distL="0" distR="0" wp14:anchorId="1DDAFB22" wp14:editId="74E103F7">
                  <wp:extent cx="5229225" cy="3287819"/>
                  <wp:effectExtent l="0" t="0" r="0" b="825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duotone>
                              <a:schemeClr val="accent6">
                                <a:shade val="45000"/>
                                <a:satMod val="135000"/>
                              </a:schemeClr>
                              <a:prstClr val="white"/>
                            </a:duotone>
                          </a:blip>
                          <a:stretch>
                            <a:fillRect/>
                          </a:stretch>
                        </pic:blipFill>
                        <pic:spPr>
                          <a:xfrm>
                            <a:off x="0" y="0"/>
                            <a:ext cx="5236778" cy="3292568"/>
                          </a:xfrm>
                          <a:prstGeom prst="rect">
                            <a:avLst/>
                          </a:prstGeom>
                        </pic:spPr>
                      </pic:pic>
                    </a:graphicData>
                  </a:graphic>
                </wp:inline>
              </w:drawing>
            </w:r>
          </w:p>
          <w:p w:rsidR="00FD4103" w:rsidRPr="006E25C0" w:rsidRDefault="00FD4103" w:rsidP="00A31762">
            <w:pPr>
              <w:rPr>
                <w:rFonts w:ascii="Calibri" w:eastAsia="Calibri" w:hAnsi="Calibri" w:cs="Calibri"/>
                <w:noProof/>
                <w:color w:val="000000"/>
                <w:sz w:val="14"/>
                <w:szCs w:val="22"/>
                <w:lang w:eastAsia="en-GB"/>
              </w:rPr>
            </w:pPr>
          </w:p>
        </w:tc>
      </w:tr>
    </w:tbl>
    <w:p w:rsidR="006678E8" w:rsidRPr="006E25C0" w:rsidRDefault="006678E8">
      <w:pPr>
        <w:rPr>
          <w:rFonts w:asciiTheme="minorHAnsi" w:hAnsiTheme="minorHAnsi" w:cstheme="minorHAnsi"/>
          <w:sz w:val="14"/>
        </w:rPr>
      </w:pPr>
    </w:p>
    <w:p w:rsidR="006678E8" w:rsidRPr="00BD63FC" w:rsidRDefault="00200332">
      <w:pPr>
        <w:rPr>
          <w:rFonts w:asciiTheme="minorHAnsi" w:hAnsiTheme="minorHAnsi" w:cstheme="minorHAnsi"/>
          <w:sz w:val="20"/>
        </w:rPr>
      </w:pPr>
      <w:r w:rsidRPr="00BD63FC">
        <w:rPr>
          <w:rFonts w:asciiTheme="minorHAnsi" w:hAnsiTheme="minorHAnsi" w:cstheme="minorHAnsi"/>
          <w:sz w:val="20"/>
          <w:vertAlign w:val="superscript"/>
        </w:rPr>
        <w:t>7</w:t>
      </w:r>
      <w:r w:rsidRPr="00BD63FC">
        <w:rPr>
          <w:rFonts w:asciiTheme="minorHAnsi" w:hAnsiTheme="minorHAnsi" w:cstheme="minorHAnsi"/>
          <w:sz w:val="20"/>
        </w:rPr>
        <w:t xml:space="preserve"> DCLG Live tables on housing market and house prices: Table 581(2013 Quarter 2)</w:t>
      </w:r>
    </w:p>
    <w:p w:rsidR="007B6707" w:rsidRDefault="00200332" w:rsidP="00A31762">
      <w:pPr>
        <w:rPr>
          <w:rFonts w:asciiTheme="minorHAnsi" w:hAnsiTheme="minorHAnsi" w:cstheme="minorHAnsi"/>
          <w:sz w:val="20"/>
        </w:rPr>
      </w:pPr>
      <w:r w:rsidRPr="00BD63FC">
        <w:rPr>
          <w:rFonts w:asciiTheme="minorHAnsi" w:hAnsiTheme="minorHAnsi" w:cstheme="minorHAnsi"/>
          <w:sz w:val="20"/>
          <w:vertAlign w:val="superscript"/>
        </w:rPr>
        <w:t>8</w:t>
      </w:r>
      <w:r w:rsidRPr="00BD63FC">
        <w:rPr>
          <w:rFonts w:asciiTheme="minorHAnsi" w:hAnsiTheme="minorHAnsi" w:cstheme="minorHAnsi"/>
          <w:sz w:val="20"/>
        </w:rPr>
        <w:t xml:space="preserve"> DCLG Live tables on housing market and house prices: Table 58</w:t>
      </w:r>
      <w:r w:rsidR="00893565" w:rsidRPr="00BD63FC">
        <w:rPr>
          <w:rFonts w:asciiTheme="minorHAnsi" w:hAnsiTheme="minorHAnsi" w:cstheme="minorHAnsi"/>
          <w:sz w:val="20"/>
        </w:rPr>
        <w:t>2</w:t>
      </w:r>
      <w:r w:rsidRPr="00BD63FC">
        <w:rPr>
          <w:rFonts w:asciiTheme="minorHAnsi" w:hAnsiTheme="minorHAnsi" w:cstheme="minorHAnsi"/>
          <w:sz w:val="20"/>
        </w:rPr>
        <w:t xml:space="preserve"> (2013 Quarter 2)</w:t>
      </w:r>
    </w:p>
    <w:p w:rsidR="00C03780" w:rsidRPr="00AF195F" w:rsidRDefault="00280EB5" w:rsidP="00A31762">
      <w:pPr>
        <w:rPr>
          <w:rFonts w:asciiTheme="minorHAnsi" w:hAnsiTheme="minorHAnsi" w:cstheme="minorHAnsi"/>
          <w:sz w:val="20"/>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36064" behindDoc="0" locked="0" layoutInCell="1" allowOverlap="1" wp14:anchorId="776218E8" wp14:editId="096277FE">
                <wp:simplePos x="0" y="0"/>
                <wp:positionH relativeFrom="column">
                  <wp:posOffset>4044315</wp:posOffset>
                </wp:positionH>
                <wp:positionV relativeFrom="paragraph">
                  <wp:posOffset>-603607</wp:posOffset>
                </wp:positionV>
                <wp:extent cx="1722755"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280EB5">
                            <w:pPr>
                              <w:jc w:val="right"/>
                              <w:rPr>
                                <w:b/>
                                <w:color w:val="595959" w:themeColor="text1" w:themeTint="A6"/>
                              </w:rPr>
                            </w:pPr>
                            <w:r w:rsidRPr="00280EB5">
                              <w:rPr>
                                <w:b/>
                                <w:color w:val="595959" w:themeColor="text1" w:themeTint="A6"/>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318.45pt;margin-top:-47.55pt;width:135.65pt;height:27.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" fillcolor="window" stroked="f" strokeweight=".5pt">
                <v:textbox>
                  <w:txbxContent>
                    <w:p w:rsidR="000D3CFF" w:rsidRPr="00280EB5" w:rsidRDefault="000D3CFF" w:rsidP="00280EB5">
                      <w:pPr>
                        <w:jc w:val="right"/>
                        <w:rPr>
                          <w:b/>
                          <w:color w:val="595959" w:themeColor="text1" w:themeTint="A6"/>
                        </w:rPr>
                      </w:pPr>
                      <w:r w:rsidRPr="00280EB5">
                        <w:rPr>
                          <w:b/>
                          <w:color w:val="595959" w:themeColor="text1" w:themeTint="A6"/>
                        </w:rPr>
                        <w:t>Objectives</w:t>
                      </w:r>
                    </w:p>
                  </w:txbxContent>
                </v:textbox>
              </v:shape>
            </w:pict>
          </mc:Fallback>
        </mc:AlternateContent>
      </w:r>
      <w:r w:rsidR="005F0AD3" w:rsidRPr="005F0AD3">
        <w:rPr>
          <w:rFonts w:ascii="Calibri" w:eastAsia="Calibri" w:hAnsi="Calibri" w:cs="Calibri"/>
          <w:b/>
          <w:noProof/>
          <w:color w:val="000000"/>
          <w:sz w:val="32"/>
          <w:szCs w:val="22"/>
          <w:lang w:eastAsia="en-GB"/>
        </w:rPr>
        <w:t>Objectives</w:t>
      </w:r>
    </w:p>
    <w:p w:rsidR="00C03780" w:rsidRPr="007B6707" w:rsidRDefault="00C03780" w:rsidP="00A31762">
      <w:pPr>
        <w:rPr>
          <w:rFonts w:ascii="Calibri" w:eastAsia="Calibri" w:hAnsi="Calibri" w:cs="Calibri"/>
          <w:color w:val="000000"/>
          <w:sz w:val="18"/>
          <w:szCs w:val="22"/>
        </w:rPr>
      </w:pPr>
    </w:p>
    <w:p w:rsidR="005F0AD3" w:rsidRPr="007B6707" w:rsidRDefault="00EB05F5" w:rsidP="00A31762">
      <w:pPr>
        <w:rPr>
          <w:rFonts w:ascii="Calibri" w:eastAsia="Calibri" w:hAnsi="Calibri" w:cs="Calibri"/>
          <w:b/>
          <w:color w:val="000000"/>
          <w:szCs w:val="22"/>
        </w:rPr>
      </w:pPr>
      <w:r w:rsidRPr="007B6707">
        <w:rPr>
          <w:rFonts w:ascii="Calibri" w:eastAsia="Calibri" w:hAnsi="Calibri" w:cs="Calibri"/>
          <w:b/>
          <w:color w:val="000000"/>
          <w:szCs w:val="22"/>
        </w:rPr>
        <w:t>Corporate Plan 2013</w:t>
      </w:r>
      <w:r w:rsidR="00A73CF4" w:rsidRPr="007B6707">
        <w:rPr>
          <w:rFonts w:ascii="Calibri" w:eastAsia="Calibri" w:hAnsi="Calibri" w:cs="Calibri"/>
          <w:b/>
          <w:color w:val="000000"/>
          <w:szCs w:val="22"/>
        </w:rPr>
        <w:t>-</w:t>
      </w:r>
      <w:r w:rsidRPr="007B6707">
        <w:rPr>
          <w:rFonts w:ascii="Calibri" w:eastAsia="Calibri" w:hAnsi="Calibri" w:cs="Calibri"/>
          <w:b/>
          <w:color w:val="000000"/>
          <w:szCs w:val="22"/>
        </w:rPr>
        <w:t>17</w:t>
      </w:r>
    </w:p>
    <w:p w:rsidR="005F0AD3" w:rsidRPr="000E4965" w:rsidRDefault="005F0AD3" w:rsidP="00A31762">
      <w:pPr>
        <w:rPr>
          <w:rFonts w:ascii="Calibri" w:eastAsia="Calibri" w:hAnsi="Calibri" w:cs="Calibri"/>
          <w:b/>
          <w:color w:val="000000"/>
          <w:sz w:val="10"/>
          <w:szCs w:val="22"/>
        </w:rPr>
      </w:pPr>
    </w:p>
    <w:tbl>
      <w:tblPr>
        <w:tblStyle w:val="TableGrid"/>
        <w:tblW w:w="0" w:type="auto"/>
        <w:tblLook w:val="04A0" w:firstRow="1" w:lastRow="0" w:firstColumn="1" w:lastColumn="0" w:noHBand="0" w:noVBand="1"/>
      </w:tblPr>
      <w:tblGrid>
        <w:gridCol w:w="1668"/>
        <w:gridCol w:w="7574"/>
      </w:tblGrid>
      <w:tr w:rsidR="005F0AD3" w:rsidTr="00A00A74">
        <w:tc>
          <w:tcPr>
            <w:tcW w:w="9242" w:type="dxa"/>
            <w:gridSpan w:val="2"/>
            <w:tcBorders>
              <w:bottom w:val="single" w:sz="4" w:space="0" w:color="auto"/>
            </w:tcBorders>
            <w:shd w:val="clear" w:color="auto" w:fill="244061" w:themeFill="accent1" w:themeFillShade="80"/>
          </w:tcPr>
          <w:p w:rsidR="005F0AD3" w:rsidRPr="00C361AA" w:rsidRDefault="005F0AD3" w:rsidP="00A31762">
            <w:pPr>
              <w:rPr>
                <w:rFonts w:ascii="Calibri" w:eastAsia="Calibri" w:hAnsi="Calibri" w:cs="Calibri"/>
                <w:b/>
                <w:color w:val="244061" w:themeColor="accent1" w:themeShade="80"/>
              </w:rPr>
            </w:pPr>
            <w:r w:rsidRPr="00507F15">
              <w:rPr>
                <w:rFonts w:ascii="Calibri" w:eastAsia="Calibri" w:hAnsi="Calibri" w:cs="Calibri"/>
                <w:b/>
                <w:color w:val="FFFFFF" w:themeColor="background1"/>
                <w:sz w:val="22"/>
              </w:rPr>
              <w:t>A Vibrant, Sustainable Economy</w:t>
            </w:r>
          </w:p>
        </w:tc>
      </w:tr>
      <w:tr w:rsidR="005F0AD3" w:rsidTr="00A00A74">
        <w:tc>
          <w:tcPr>
            <w:tcW w:w="1668" w:type="dxa"/>
            <w:tcBorders>
              <w:bottom w:val="nil"/>
              <w:right w:val="nil"/>
            </w:tcBorders>
          </w:tcPr>
          <w:p w:rsidR="00965E97" w:rsidRPr="00965E97" w:rsidRDefault="00965E97" w:rsidP="002B22EA">
            <w:pPr>
              <w:jc w:val="right"/>
              <w:rPr>
                <w:rFonts w:ascii="Calibri" w:eastAsia="Calibri" w:hAnsi="Calibri" w:cs="Calibri"/>
                <w:b/>
                <w:color w:val="244061" w:themeColor="accent1" w:themeShade="80"/>
                <w:sz w:val="8"/>
                <w:szCs w:val="8"/>
              </w:rPr>
            </w:pPr>
          </w:p>
          <w:p w:rsidR="005F0AD3" w:rsidRPr="005F0AD3" w:rsidRDefault="005F0AD3" w:rsidP="002B22EA">
            <w:pPr>
              <w:jc w:val="right"/>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Our Ambition</w:t>
            </w:r>
            <w:r w:rsidR="002B22EA">
              <w:rPr>
                <w:rFonts w:ascii="Calibri" w:eastAsia="Calibri" w:hAnsi="Calibri" w:cs="Calibri"/>
                <w:b/>
                <w:color w:val="244061" w:themeColor="accent1" w:themeShade="80"/>
                <w:sz w:val="22"/>
                <w:szCs w:val="22"/>
              </w:rPr>
              <w:t>:</w:t>
            </w:r>
          </w:p>
        </w:tc>
        <w:tc>
          <w:tcPr>
            <w:tcW w:w="7574" w:type="dxa"/>
            <w:tcBorders>
              <w:left w:val="nil"/>
              <w:bottom w:val="nil"/>
            </w:tcBorders>
          </w:tcPr>
          <w:p w:rsidR="00965E97" w:rsidRPr="00965E97" w:rsidRDefault="00965E97" w:rsidP="00A31762">
            <w:pPr>
              <w:rPr>
                <w:rFonts w:ascii="Calibri" w:eastAsia="Calibri" w:hAnsi="Calibri" w:cs="Calibri"/>
                <w:b/>
                <w:color w:val="244061" w:themeColor="accent1" w:themeShade="80"/>
                <w:sz w:val="8"/>
                <w:szCs w:val="22"/>
              </w:rPr>
            </w:pPr>
          </w:p>
          <w:p w:rsidR="00965E97" w:rsidRPr="004F1FBF" w:rsidRDefault="00965E97" w:rsidP="00A31762">
            <w:pPr>
              <w:rPr>
                <w:rFonts w:ascii="Calibri" w:eastAsia="Calibri" w:hAnsi="Calibri" w:cs="Calibri"/>
                <w:b/>
                <w:color w:val="244061" w:themeColor="accent1" w:themeShade="80"/>
                <w:szCs w:val="22"/>
              </w:rPr>
            </w:pPr>
            <w:r w:rsidRPr="00507F15">
              <w:rPr>
                <w:rFonts w:ascii="Calibri" w:eastAsia="Calibri" w:hAnsi="Calibri" w:cs="Calibri"/>
                <w:b/>
                <w:color w:val="244061" w:themeColor="accent1" w:themeShade="80"/>
                <w:sz w:val="22"/>
                <w:szCs w:val="22"/>
              </w:rPr>
              <w:t>A strong local economy, supported by effective education and training</w:t>
            </w:r>
          </w:p>
          <w:p w:rsidR="00965E97" w:rsidRPr="00965E97" w:rsidRDefault="00965E97" w:rsidP="00A31762">
            <w:pPr>
              <w:rPr>
                <w:rFonts w:ascii="Calibri" w:eastAsia="Calibri" w:hAnsi="Calibri" w:cs="Calibri"/>
                <w:b/>
                <w:color w:val="244061" w:themeColor="accent1" w:themeShade="80"/>
                <w:sz w:val="8"/>
                <w:szCs w:val="8"/>
              </w:rPr>
            </w:pPr>
          </w:p>
        </w:tc>
      </w:tr>
      <w:tr w:rsidR="00965E97" w:rsidTr="00A00A74">
        <w:tc>
          <w:tcPr>
            <w:tcW w:w="1668" w:type="dxa"/>
            <w:tcBorders>
              <w:top w:val="nil"/>
              <w:right w:val="nil"/>
            </w:tcBorders>
          </w:tcPr>
          <w:p w:rsidR="00965E97" w:rsidRPr="00965E97" w:rsidRDefault="00965E97" w:rsidP="002B22EA">
            <w:pPr>
              <w:jc w:val="right"/>
              <w:rPr>
                <w:rFonts w:ascii="Calibri" w:eastAsia="Calibri" w:hAnsi="Calibri" w:cs="Calibri"/>
                <w:color w:val="244061" w:themeColor="accent1" w:themeShade="80"/>
                <w:sz w:val="22"/>
                <w:szCs w:val="22"/>
              </w:rPr>
            </w:pPr>
            <w:r w:rsidRPr="00965E97">
              <w:rPr>
                <w:rFonts w:ascii="Calibri" w:eastAsia="Calibri" w:hAnsi="Calibri" w:cs="Calibri"/>
                <w:color w:val="244061" w:themeColor="accent1" w:themeShade="80"/>
                <w:sz w:val="22"/>
                <w:szCs w:val="22"/>
              </w:rPr>
              <w:t>Approach</w:t>
            </w:r>
            <w:r w:rsidR="002B22EA">
              <w:rPr>
                <w:rFonts w:ascii="Calibri" w:eastAsia="Calibri" w:hAnsi="Calibri" w:cs="Calibri"/>
                <w:color w:val="244061" w:themeColor="accent1" w:themeShade="80"/>
                <w:sz w:val="22"/>
                <w:szCs w:val="22"/>
              </w:rPr>
              <w:t>:</w:t>
            </w:r>
          </w:p>
        </w:tc>
        <w:tc>
          <w:tcPr>
            <w:tcW w:w="7574" w:type="dxa"/>
            <w:tcBorders>
              <w:top w:val="nil"/>
              <w:left w:val="nil"/>
            </w:tcBorders>
          </w:tcPr>
          <w:p w:rsidR="00965E97" w:rsidRDefault="00965E97" w:rsidP="004335B5">
            <w:pPr>
              <w:pStyle w:val="ListParagraph"/>
              <w:numPr>
                <w:ilvl w:val="0"/>
                <w:numId w:val="4"/>
              </w:numPr>
              <w:ind w:left="317"/>
              <w:rPr>
                <w:rFonts w:ascii="Calibri" w:eastAsia="Calibri" w:hAnsi="Calibri" w:cs="Calibri"/>
                <w:color w:val="244061" w:themeColor="accent1" w:themeShade="80"/>
                <w:sz w:val="22"/>
                <w:szCs w:val="22"/>
              </w:rPr>
            </w:pPr>
            <w:r>
              <w:rPr>
                <w:rFonts w:ascii="Calibri" w:eastAsia="Calibri" w:hAnsi="Calibri" w:cs="Calibri"/>
                <w:color w:val="244061" w:themeColor="accent1" w:themeShade="80"/>
                <w:sz w:val="22"/>
                <w:szCs w:val="22"/>
              </w:rPr>
              <w:t xml:space="preserve">Promoting growth </w:t>
            </w:r>
            <w:r w:rsidR="002B22EA">
              <w:rPr>
                <w:rFonts w:ascii="Calibri" w:eastAsia="Calibri" w:hAnsi="Calibri" w:cs="Calibri"/>
                <w:color w:val="244061" w:themeColor="accent1" w:themeShade="80"/>
                <w:sz w:val="22"/>
                <w:szCs w:val="22"/>
              </w:rPr>
              <w:t>of enterprise, the knowledge-based economy and jobs</w:t>
            </w:r>
          </w:p>
          <w:p w:rsidR="002B22EA" w:rsidRDefault="002B22EA" w:rsidP="004335B5">
            <w:pPr>
              <w:pStyle w:val="ListParagraph"/>
              <w:numPr>
                <w:ilvl w:val="0"/>
                <w:numId w:val="4"/>
              </w:numPr>
              <w:ind w:left="317"/>
              <w:rPr>
                <w:rFonts w:ascii="Calibri" w:eastAsia="Calibri" w:hAnsi="Calibri" w:cs="Calibri"/>
                <w:color w:val="244061" w:themeColor="accent1" w:themeShade="80"/>
                <w:sz w:val="22"/>
                <w:szCs w:val="22"/>
              </w:rPr>
            </w:pPr>
            <w:r>
              <w:rPr>
                <w:rFonts w:ascii="Calibri" w:eastAsia="Calibri" w:hAnsi="Calibri" w:cs="Calibri"/>
                <w:color w:val="244061" w:themeColor="accent1" w:themeShade="80"/>
                <w:sz w:val="22"/>
                <w:szCs w:val="22"/>
              </w:rPr>
              <w:t>Improving the skills of the workforce</w:t>
            </w:r>
          </w:p>
          <w:p w:rsidR="002B22EA" w:rsidRDefault="002B22EA" w:rsidP="004335B5">
            <w:pPr>
              <w:pStyle w:val="ListParagraph"/>
              <w:numPr>
                <w:ilvl w:val="0"/>
                <w:numId w:val="4"/>
              </w:numPr>
              <w:ind w:left="317"/>
              <w:rPr>
                <w:rFonts w:ascii="Calibri" w:eastAsia="Calibri" w:hAnsi="Calibri" w:cs="Calibri"/>
                <w:color w:val="244061" w:themeColor="accent1" w:themeShade="80"/>
                <w:sz w:val="22"/>
                <w:szCs w:val="22"/>
              </w:rPr>
            </w:pPr>
            <w:r>
              <w:rPr>
                <w:rFonts w:ascii="Calibri" w:eastAsia="Calibri" w:hAnsi="Calibri" w:cs="Calibri"/>
                <w:color w:val="244061" w:themeColor="accent1" w:themeShade="80"/>
                <w:sz w:val="22"/>
                <w:szCs w:val="22"/>
              </w:rPr>
              <w:t>Increasing the availability of land for commercial development</w:t>
            </w:r>
          </w:p>
          <w:p w:rsidR="002B22EA" w:rsidRPr="002B22EA" w:rsidRDefault="002B22EA" w:rsidP="002B22EA">
            <w:pPr>
              <w:pStyle w:val="ListParagraph"/>
              <w:ind w:left="317"/>
              <w:rPr>
                <w:rFonts w:ascii="Calibri" w:eastAsia="Calibri" w:hAnsi="Calibri" w:cs="Calibri"/>
                <w:color w:val="244061" w:themeColor="accent1" w:themeShade="80"/>
                <w:sz w:val="12"/>
                <w:szCs w:val="12"/>
              </w:rPr>
            </w:pPr>
          </w:p>
        </w:tc>
      </w:tr>
      <w:tr w:rsidR="005F0AD3" w:rsidTr="00A00A74">
        <w:tc>
          <w:tcPr>
            <w:tcW w:w="9242" w:type="dxa"/>
            <w:gridSpan w:val="2"/>
            <w:tcBorders>
              <w:bottom w:val="single" w:sz="4" w:space="0" w:color="auto"/>
            </w:tcBorders>
            <w:shd w:val="clear" w:color="auto" w:fill="984806" w:themeFill="accent6" w:themeFillShade="80"/>
          </w:tcPr>
          <w:p w:rsidR="005F0AD3" w:rsidRPr="00C361AA" w:rsidRDefault="002B22EA" w:rsidP="00A31762">
            <w:pPr>
              <w:rPr>
                <w:rFonts w:ascii="Calibri" w:eastAsia="Calibri" w:hAnsi="Calibri" w:cs="Calibri"/>
                <w:b/>
                <w:color w:val="FFFFFF" w:themeColor="background1"/>
              </w:rPr>
            </w:pPr>
            <w:r w:rsidRPr="00507F15">
              <w:rPr>
                <w:rFonts w:ascii="Calibri" w:eastAsia="Calibri" w:hAnsi="Calibri" w:cs="Calibri"/>
                <w:b/>
                <w:color w:val="FFFFFF" w:themeColor="background1"/>
                <w:sz w:val="22"/>
              </w:rPr>
              <w:t>Meeting Housing  Needs</w:t>
            </w:r>
          </w:p>
        </w:tc>
      </w:tr>
      <w:tr w:rsidR="002B22EA" w:rsidTr="00A00A74">
        <w:tc>
          <w:tcPr>
            <w:tcW w:w="1668" w:type="dxa"/>
            <w:tcBorders>
              <w:bottom w:val="nil"/>
              <w:right w:val="nil"/>
            </w:tcBorders>
          </w:tcPr>
          <w:p w:rsidR="002B22EA" w:rsidRPr="002B22EA" w:rsidRDefault="002B22EA" w:rsidP="00682A91">
            <w:pPr>
              <w:jc w:val="right"/>
              <w:rPr>
                <w:rFonts w:ascii="Calibri" w:eastAsia="Calibri" w:hAnsi="Calibri" w:cs="Calibri"/>
                <w:b/>
                <w:color w:val="984806" w:themeColor="accent6" w:themeShade="80"/>
                <w:sz w:val="8"/>
                <w:szCs w:val="8"/>
              </w:rPr>
            </w:pPr>
          </w:p>
          <w:p w:rsidR="002B22EA" w:rsidRPr="002B22EA" w:rsidRDefault="002B22EA" w:rsidP="00682A91">
            <w:pPr>
              <w:jc w:val="right"/>
              <w:rPr>
                <w:rFonts w:ascii="Calibri" w:eastAsia="Calibri" w:hAnsi="Calibri" w:cs="Calibri"/>
                <w:b/>
                <w:color w:val="984806" w:themeColor="accent6" w:themeShade="80"/>
                <w:sz w:val="22"/>
                <w:szCs w:val="22"/>
              </w:rPr>
            </w:pPr>
            <w:r w:rsidRPr="002B22EA">
              <w:rPr>
                <w:rFonts w:ascii="Calibri" w:eastAsia="Calibri" w:hAnsi="Calibri" w:cs="Calibri"/>
                <w:b/>
                <w:color w:val="984806" w:themeColor="accent6" w:themeShade="80"/>
                <w:sz w:val="22"/>
                <w:szCs w:val="22"/>
              </w:rPr>
              <w:t>Our Ambition:</w:t>
            </w:r>
          </w:p>
        </w:tc>
        <w:tc>
          <w:tcPr>
            <w:tcW w:w="7574" w:type="dxa"/>
            <w:tcBorders>
              <w:left w:val="nil"/>
              <w:bottom w:val="nil"/>
            </w:tcBorders>
          </w:tcPr>
          <w:p w:rsidR="002B22EA" w:rsidRPr="002B22EA" w:rsidRDefault="002B22EA" w:rsidP="00682A91">
            <w:pPr>
              <w:rPr>
                <w:rFonts w:ascii="Calibri" w:eastAsia="Calibri" w:hAnsi="Calibri" w:cs="Calibri"/>
                <w:b/>
                <w:color w:val="984806" w:themeColor="accent6" w:themeShade="80"/>
                <w:sz w:val="8"/>
                <w:szCs w:val="22"/>
              </w:rPr>
            </w:pPr>
          </w:p>
          <w:p w:rsidR="002B22EA" w:rsidRPr="00507F15" w:rsidRDefault="002B22EA" w:rsidP="00682A91">
            <w:pPr>
              <w:rPr>
                <w:rFonts w:ascii="Calibri" w:eastAsia="Calibri" w:hAnsi="Calibri" w:cs="Calibri"/>
                <w:b/>
                <w:color w:val="984806" w:themeColor="accent6" w:themeShade="80"/>
                <w:sz w:val="22"/>
                <w:szCs w:val="22"/>
              </w:rPr>
            </w:pPr>
            <w:r w:rsidRPr="00507F15">
              <w:rPr>
                <w:rFonts w:ascii="Calibri" w:eastAsia="Calibri" w:hAnsi="Calibri" w:cs="Calibri"/>
                <w:b/>
                <w:color w:val="984806" w:themeColor="accent6" w:themeShade="80"/>
                <w:sz w:val="22"/>
                <w:szCs w:val="22"/>
              </w:rPr>
              <w:t>More affordable, high-quality housing in Oxford</w:t>
            </w:r>
          </w:p>
          <w:p w:rsidR="002B22EA" w:rsidRPr="002B22EA" w:rsidRDefault="002B22EA" w:rsidP="00682A91">
            <w:pPr>
              <w:rPr>
                <w:rFonts w:ascii="Calibri" w:eastAsia="Calibri" w:hAnsi="Calibri" w:cs="Calibri"/>
                <w:b/>
                <w:color w:val="984806" w:themeColor="accent6" w:themeShade="80"/>
                <w:sz w:val="8"/>
                <w:szCs w:val="8"/>
              </w:rPr>
            </w:pPr>
          </w:p>
        </w:tc>
      </w:tr>
      <w:tr w:rsidR="002B22EA" w:rsidTr="00A00A74">
        <w:tc>
          <w:tcPr>
            <w:tcW w:w="1668" w:type="dxa"/>
            <w:tcBorders>
              <w:top w:val="nil"/>
              <w:right w:val="nil"/>
            </w:tcBorders>
          </w:tcPr>
          <w:p w:rsidR="002B22EA" w:rsidRPr="002B22EA" w:rsidRDefault="002B22EA" w:rsidP="00682A91">
            <w:pPr>
              <w:jc w:val="right"/>
              <w:rPr>
                <w:rFonts w:ascii="Calibri" w:eastAsia="Calibri" w:hAnsi="Calibri" w:cs="Calibri"/>
                <w:color w:val="984806" w:themeColor="accent6" w:themeShade="80"/>
                <w:sz w:val="22"/>
                <w:szCs w:val="22"/>
              </w:rPr>
            </w:pPr>
            <w:r w:rsidRPr="002B22EA">
              <w:rPr>
                <w:rFonts w:ascii="Calibri" w:eastAsia="Calibri" w:hAnsi="Calibri" w:cs="Calibri"/>
                <w:color w:val="984806" w:themeColor="accent6" w:themeShade="80"/>
                <w:sz w:val="22"/>
                <w:szCs w:val="22"/>
              </w:rPr>
              <w:t>Approach:</w:t>
            </w:r>
          </w:p>
        </w:tc>
        <w:tc>
          <w:tcPr>
            <w:tcW w:w="7574" w:type="dxa"/>
            <w:tcBorders>
              <w:top w:val="nil"/>
              <w:left w:val="nil"/>
            </w:tcBorders>
          </w:tcPr>
          <w:p w:rsidR="002B22EA" w:rsidRDefault="00A00A74" w:rsidP="004335B5">
            <w:pPr>
              <w:pStyle w:val="ListParagraph"/>
              <w:numPr>
                <w:ilvl w:val="0"/>
                <w:numId w:val="4"/>
              </w:numPr>
              <w:ind w:left="317"/>
              <w:rPr>
                <w:rFonts w:ascii="Calibri" w:eastAsia="Calibri" w:hAnsi="Calibri" w:cs="Calibri"/>
                <w:color w:val="984806" w:themeColor="accent6" w:themeShade="80"/>
                <w:sz w:val="22"/>
                <w:szCs w:val="22"/>
              </w:rPr>
            </w:pPr>
            <w:r>
              <w:rPr>
                <w:rFonts w:ascii="Calibri" w:eastAsia="Calibri" w:hAnsi="Calibri" w:cs="Calibri"/>
                <w:color w:val="984806" w:themeColor="accent6" w:themeShade="80"/>
                <w:sz w:val="22"/>
                <w:szCs w:val="22"/>
              </w:rPr>
              <w:t>Building new homes</w:t>
            </w:r>
          </w:p>
          <w:p w:rsidR="002B22EA" w:rsidRDefault="002B22EA" w:rsidP="004335B5">
            <w:pPr>
              <w:pStyle w:val="ListParagraph"/>
              <w:numPr>
                <w:ilvl w:val="0"/>
                <w:numId w:val="4"/>
              </w:numPr>
              <w:ind w:left="317"/>
              <w:rPr>
                <w:rFonts w:ascii="Calibri" w:eastAsia="Calibri" w:hAnsi="Calibri" w:cs="Calibri"/>
                <w:color w:val="984806" w:themeColor="accent6" w:themeShade="80"/>
                <w:sz w:val="22"/>
                <w:szCs w:val="22"/>
              </w:rPr>
            </w:pPr>
            <w:r>
              <w:rPr>
                <w:rFonts w:ascii="Calibri" w:eastAsia="Calibri" w:hAnsi="Calibri" w:cs="Calibri"/>
                <w:color w:val="984806" w:themeColor="accent6" w:themeShade="80"/>
                <w:sz w:val="22"/>
                <w:szCs w:val="22"/>
              </w:rPr>
              <w:t xml:space="preserve">Providing </w:t>
            </w:r>
            <w:r w:rsidR="00507F15">
              <w:rPr>
                <w:rFonts w:ascii="Calibri" w:eastAsia="Calibri" w:hAnsi="Calibri" w:cs="Calibri"/>
                <w:color w:val="984806" w:themeColor="accent6" w:themeShade="80"/>
                <w:sz w:val="22"/>
                <w:szCs w:val="22"/>
              </w:rPr>
              <w:t>a high quality landlord service</w:t>
            </w:r>
          </w:p>
          <w:p w:rsidR="002B22EA" w:rsidRDefault="002B22EA" w:rsidP="004335B5">
            <w:pPr>
              <w:pStyle w:val="ListParagraph"/>
              <w:numPr>
                <w:ilvl w:val="0"/>
                <w:numId w:val="4"/>
              </w:numPr>
              <w:ind w:left="317"/>
              <w:rPr>
                <w:rFonts w:ascii="Calibri" w:eastAsia="Calibri" w:hAnsi="Calibri" w:cs="Calibri"/>
                <w:color w:val="984806" w:themeColor="accent6" w:themeShade="80"/>
                <w:sz w:val="22"/>
                <w:szCs w:val="22"/>
              </w:rPr>
            </w:pPr>
            <w:r>
              <w:rPr>
                <w:rFonts w:ascii="Calibri" w:eastAsia="Calibri" w:hAnsi="Calibri" w:cs="Calibri"/>
                <w:color w:val="984806" w:themeColor="accent6" w:themeShade="80"/>
                <w:sz w:val="22"/>
                <w:szCs w:val="22"/>
              </w:rPr>
              <w:t>Improving standards in the private rented sector</w:t>
            </w:r>
          </w:p>
          <w:p w:rsidR="002B22EA" w:rsidRDefault="002B22EA" w:rsidP="004335B5">
            <w:pPr>
              <w:pStyle w:val="ListParagraph"/>
              <w:numPr>
                <w:ilvl w:val="0"/>
                <w:numId w:val="4"/>
              </w:numPr>
              <w:ind w:left="317"/>
              <w:rPr>
                <w:rFonts w:ascii="Calibri" w:eastAsia="Calibri" w:hAnsi="Calibri" w:cs="Calibri"/>
                <w:color w:val="984806" w:themeColor="accent6" w:themeShade="80"/>
                <w:sz w:val="22"/>
                <w:szCs w:val="22"/>
              </w:rPr>
            </w:pPr>
            <w:r>
              <w:rPr>
                <w:rFonts w:ascii="Calibri" w:eastAsia="Calibri" w:hAnsi="Calibri" w:cs="Calibri"/>
                <w:color w:val="984806" w:themeColor="accent6" w:themeShade="80"/>
                <w:sz w:val="22"/>
                <w:szCs w:val="22"/>
              </w:rPr>
              <w:t>Reducing homelessness</w:t>
            </w:r>
          </w:p>
          <w:p w:rsidR="002B22EA" w:rsidRPr="002B22EA" w:rsidRDefault="00EB05F5" w:rsidP="004335B5">
            <w:pPr>
              <w:pStyle w:val="ListParagraph"/>
              <w:numPr>
                <w:ilvl w:val="0"/>
                <w:numId w:val="4"/>
              </w:numPr>
              <w:ind w:left="317"/>
              <w:rPr>
                <w:rFonts w:ascii="Calibri" w:eastAsia="Calibri" w:hAnsi="Calibri" w:cs="Calibri"/>
                <w:color w:val="984806" w:themeColor="accent6" w:themeShade="80"/>
                <w:sz w:val="22"/>
                <w:szCs w:val="22"/>
              </w:rPr>
            </w:pPr>
            <w:r>
              <w:rPr>
                <w:rFonts w:ascii="Calibri" w:eastAsia="Calibri" w:hAnsi="Calibri" w:cs="Calibri"/>
                <w:color w:val="984806" w:themeColor="accent6" w:themeShade="80"/>
                <w:sz w:val="22"/>
                <w:szCs w:val="22"/>
              </w:rPr>
              <w:t>Piloting d</w:t>
            </w:r>
            <w:r w:rsidR="002B22EA">
              <w:rPr>
                <w:rFonts w:ascii="Calibri" w:eastAsia="Calibri" w:hAnsi="Calibri" w:cs="Calibri"/>
                <w:color w:val="984806" w:themeColor="accent6" w:themeShade="80"/>
                <w:sz w:val="22"/>
                <w:szCs w:val="22"/>
              </w:rPr>
              <w:t>irect</w:t>
            </w:r>
            <w:r>
              <w:rPr>
                <w:rFonts w:ascii="Calibri" w:eastAsia="Calibri" w:hAnsi="Calibri" w:cs="Calibri"/>
                <w:color w:val="984806" w:themeColor="accent6" w:themeShade="80"/>
                <w:sz w:val="22"/>
                <w:szCs w:val="22"/>
              </w:rPr>
              <w:t xml:space="preserve"> payments and universal c</w:t>
            </w:r>
            <w:r w:rsidR="002B22EA">
              <w:rPr>
                <w:rFonts w:ascii="Calibri" w:eastAsia="Calibri" w:hAnsi="Calibri" w:cs="Calibri"/>
                <w:color w:val="984806" w:themeColor="accent6" w:themeShade="80"/>
                <w:sz w:val="22"/>
                <w:szCs w:val="22"/>
              </w:rPr>
              <w:t>redit</w:t>
            </w:r>
          </w:p>
          <w:p w:rsidR="002B22EA" w:rsidRPr="002B22EA" w:rsidRDefault="002B22EA" w:rsidP="002B22EA">
            <w:pPr>
              <w:pStyle w:val="ListParagraph"/>
              <w:ind w:left="317"/>
              <w:rPr>
                <w:rFonts w:ascii="Calibri" w:eastAsia="Calibri" w:hAnsi="Calibri" w:cs="Calibri"/>
                <w:color w:val="984806" w:themeColor="accent6" w:themeShade="80"/>
                <w:sz w:val="12"/>
                <w:szCs w:val="12"/>
              </w:rPr>
            </w:pPr>
          </w:p>
        </w:tc>
      </w:tr>
      <w:tr w:rsidR="005F0AD3" w:rsidTr="00A00A74">
        <w:tc>
          <w:tcPr>
            <w:tcW w:w="9242" w:type="dxa"/>
            <w:gridSpan w:val="2"/>
            <w:tcBorders>
              <w:bottom w:val="single" w:sz="4" w:space="0" w:color="auto"/>
            </w:tcBorders>
            <w:shd w:val="clear" w:color="auto" w:fill="632423" w:themeFill="accent2" w:themeFillShade="80"/>
          </w:tcPr>
          <w:p w:rsidR="005F0AD3" w:rsidRPr="00C361AA" w:rsidRDefault="002B22EA" w:rsidP="00A31762">
            <w:pPr>
              <w:rPr>
                <w:rFonts w:ascii="Calibri" w:eastAsia="Calibri" w:hAnsi="Calibri" w:cs="Calibri"/>
                <w:b/>
                <w:color w:val="FFFFFF" w:themeColor="background1"/>
              </w:rPr>
            </w:pPr>
            <w:r w:rsidRPr="00507F15">
              <w:rPr>
                <w:rFonts w:ascii="Calibri" w:eastAsia="Calibri" w:hAnsi="Calibri" w:cs="Calibri"/>
                <w:b/>
                <w:color w:val="FFFFFF" w:themeColor="background1"/>
                <w:sz w:val="22"/>
              </w:rPr>
              <w:t>Strong Active Communities</w:t>
            </w:r>
          </w:p>
        </w:tc>
      </w:tr>
      <w:tr w:rsidR="002B22EA" w:rsidTr="00A00A74">
        <w:tc>
          <w:tcPr>
            <w:tcW w:w="1668" w:type="dxa"/>
            <w:tcBorders>
              <w:bottom w:val="nil"/>
              <w:right w:val="nil"/>
            </w:tcBorders>
          </w:tcPr>
          <w:p w:rsidR="002B22EA" w:rsidRPr="002B22EA" w:rsidRDefault="002B22EA" w:rsidP="00682A91">
            <w:pPr>
              <w:jc w:val="right"/>
              <w:rPr>
                <w:rFonts w:ascii="Calibri" w:eastAsia="Calibri" w:hAnsi="Calibri" w:cs="Calibri"/>
                <w:b/>
                <w:color w:val="632423" w:themeColor="accent2" w:themeShade="80"/>
                <w:sz w:val="8"/>
                <w:szCs w:val="8"/>
              </w:rPr>
            </w:pPr>
          </w:p>
          <w:p w:rsidR="002B22EA" w:rsidRPr="002B22EA" w:rsidRDefault="002B22EA" w:rsidP="00682A91">
            <w:pPr>
              <w:jc w:val="right"/>
              <w:rPr>
                <w:rFonts w:ascii="Calibri" w:eastAsia="Calibri" w:hAnsi="Calibri" w:cs="Calibri"/>
                <w:b/>
                <w:color w:val="632423" w:themeColor="accent2" w:themeShade="80"/>
                <w:sz w:val="22"/>
                <w:szCs w:val="22"/>
              </w:rPr>
            </w:pPr>
            <w:r w:rsidRPr="002B22EA">
              <w:rPr>
                <w:rFonts w:ascii="Calibri" w:eastAsia="Calibri" w:hAnsi="Calibri" w:cs="Calibri"/>
                <w:b/>
                <w:color w:val="632423" w:themeColor="accent2" w:themeShade="80"/>
                <w:sz w:val="22"/>
                <w:szCs w:val="22"/>
              </w:rPr>
              <w:t>Our Ambition:</w:t>
            </w:r>
          </w:p>
        </w:tc>
        <w:tc>
          <w:tcPr>
            <w:tcW w:w="7574" w:type="dxa"/>
            <w:tcBorders>
              <w:left w:val="nil"/>
              <w:bottom w:val="nil"/>
            </w:tcBorders>
          </w:tcPr>
          <w:p w:rsidR="002B22EA" w:rsidRPr="002B22EA" w:rsidRDefault="002B22EA" w:rsidP="00682A91">
            <w:pPr>
              <w:rPr>
                <w:rFonts w:ascii="Calibri" w:eastAsia="Calibri" w:hAnsi="Calibri" w:cs="Calibri"/>
                <w:b/>
                <w:color w:val="632423" w:themeColor="accent2" w:themeShade="80"/>
                <w:sz w:val="8"/>
                <w:szCs w:val="22"/>
              </w:rPr>
            </w:pPr>
          </w:p>
          <w:p w:rsidR="002B22EA" w:rsidRPr="00507F15" w:rsidRDefault="00A00A74" w:rsidP="00682A91">
            <w:pPr>
              <w:rPr>
                <w:rFonts w:ascii="Calibri" w:eastAsia="Calibri" w:hAnsi="Calibri" w:cs="Calibri"/>
                <w:b/>
                <w:color w:val="632423" w:themeColor="accent2" w:themeShade="80"/>
                <w:sz w:val="22"/>
                <w:szCs w:val="22"/>
              </w:rPr>
            </w:pPr>
            <w:r w:rsidRPr="00507F15">
              <w:rPr>
                <w:rFonts w:ascii="Calibri" w:eastAsia="Calibri" w:hAnsi="Calibri" w:cs="Calibri"/>
                <w:b/>
                <w:color w:val="632423" w:themeColor="accent2" w:themeShade="80"/>
                <w:sz w:val="22"/>
                <w:szCs w:val="22"/>
              </w:rPr>
              <w:t>Communities that are socially cohesive and safe, and citizens who are actively engaged in pursuing their own well-being and that of their communities</w:t>
            </w:r>
          </w:p>
          <w:p w:rsidR="00A00A74" w:rsidRPr="002B22EA" w:rsidRDefault="00A00A74" w:rsidP="00682A91">
            <w:pPr>
              <w:rPr>
                <w:rFonts w:ascii="Calibri" w:eastAsia="Calibri" w:hAnsi="Calibri" w:cs="Calibri"/>
                <w:b/>
                <w:color w:val="632423" w:themeColor="accent2" w:themeShade="80"/>
                <w:sz w:val="8"/>
                <w:szCs w:val="8"/>
              </w:rPr>
            </w:pPr>
          </w:p>
        </w:tc>
      </w:tr>
      <w:tr w:rsidR="002B22EA" w:rsidTr="00A00A74">
        <w:tc>
          <w:tcPr>
            <w:tcW w:w="1668" w:type="dxa"/>
            <w:tcBorders>
              <w:top w:val="nil"/>
              <w:right w:val="nil"/>
            </w:tcBorders>
          </w:tcPr>
          <w:p w:rsidR="002B22EA" w:rsidRPr="002B22EA" w:rsidRDefault="002B22EA" w:rsidP="00682A91">
            <w:pPr>
              <w:jc w:val="right"/>
              <w:rPr>
                <w:rFonts w:ascii="Calibri" w:eastAsia="Calibri" w:hAnsi="Calibri" w:cs="Calibri"/>
                <w:color w:val="632423" w:themeColor="accent2" w:themeShade="80"/>
                <w:sz w:val="22"/>
                <w:szCs w:val="22"/>
              </w:rPr>
            </w:pPr>
            <w:r w:rsidRPr="002B22EA">
              <w:rPr>
                <w:rFonts w:ascii="Calibri" w:eastAsia="Calibri" w:hAnsi="Calibri" w:cs="Calibri"/>
                <w:color w:val="632423" w:themeColor="accent2" w:themeShade="80"/>
                <w:sz w:val="22"/>
                <w:szCs w:val="22"/>
              </w:rPr>
              <w:t>Approach:</w:t>
            </w:r>
          </w:p>
        </w:tc>
        <w:tc>
          <w:tcPr>
            <w:tcW w:w="7574" w:type="dxa"/>
            <w:tcBorders>
              <w:top w:val="nil"/>
              <w:left w:val="nil"/>
            </w:tcBorders>
          </w:tcPr>
          <w:p w:rsidR="002B22EA" w:rsidRDefault="00A00A74" w:rsidP="004335B5">
            <w:pPr>
              <w:pStyle w:val="ListParagraph"/>
              <w:numPr>
                <w:ilvl w:val="0"/>
                <w:numId w:val="4"/>
              </w:numPr>
              <w:ind w:left="317"/>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Promoting youth ambition</w:t>
            </w:r>
          </w:p>
          <w:p w:rsidR="00A00A74" w:rsidRDefault="00A00A74" w:rsidP="004335B5">
            <w:pPr>
              <w:pStyle w:val="ListParagraph"/>
              <w:numPr>
                <w:ilvl w:val="0"/>
                <w:numId w:val="4"/>
              </w:numPr>
              <w:ind w:left="317"/>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Supporting older people</w:t>
            </w:r>
          </w:p>
          <w:p w:rsidR="00A00A74" w:rsidRDefault="00507F15" w:rsidP="004335B5">
            <w:pPr>
              <w:pStyle w:val="ListParagraph"/>
              <w:numPr>
                <w:ilvl w:val="0"/>
                <w:numId w:val="4"/>
              </w:numPr>
              <w:ind w:left="317"/>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Involving</w:t>
            </w:r>
            <w:r w:rsidR="00A00A74">
              <w:rPr>
                <w:rFonts w:ascii="Calibri" w:eastAsia="Calibri" w:hAnsi="Calibri" w:cs="Calibri"/>
                <w:color w:val="632423" w:themeColor="accent2" w:themeShade="80"/>
                <w:sz w:val="22"/>
                <w:szCs w:val="22"/>
              </w:rPr>
              <w:t xml:space="preserve"> our communities</w:t>
            </w:r>
          </w:p>
          <w:p w:rsidR="00507F15" w:rsidRDefault="007B6707" w:rsidP="004335B5">
            <w:pPr>
              <w:pStyle w:val="ListParagraph"/>
              <w:numPr>
                <w:ilvl w:val="0"/>
                <w:numId w:val="4"/>
              </w:numPr>
              <w:ind w:left="317"/>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Building safe c</w:t>
            </w:r>
            <w:r w:rsidR="00507F15">
              <w:rPr>
                <w:rFonts w:ascii="Calibri" w:eastAsia="Calibri" w:hAnsi="Calibri" w:cs="Calibri"/>
                <w:color w:val="632423" w:themeColor="accent2" w:themeShade="80"/>
                <w:sz w:val="22"/>
                <w:szCs w:val="22"/>
              </w:rPr>
              <w:t>ommunities</w:t>
            </w:r>
          </w:p>
          <w:p w:rsidR="00A00A74" w:rsidRPr="002B22EA" w:rsidRDefault="00A00A74" w:rsidP="004335B5">
            <w:pPr>
              <w:pStyle w:val="ListParagraph"/>
              <w:numPr>
                <w:ilvl w:val="0"/>
                <w:numId w:val="4"/>
              </w:numPr>
              <w:ind w:left="317"/>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Celebrating One City Oxford</w:t>
            </w:r>
          </w:p>
          <w:p w:rsidR="002B22EA" w:rsidRPr="00A00A74" w:rsidRDefault="002B22EA" w:rsidP="00A00A74">
            <w:pPr>
              <w:rPr>
                <w:rFonts w:ascii="Calibri" w:eastAsia="Calibri" w:hAnsi="Calibri" w:cs="Calibri"/>
                <w:color w:val="632423" w:themeColor="accent2" w:themeShade="80"/>
                <w:sz w:val="12"/>
                <w:szCs w:val="12"/>
              </w:rPr>
            </w:pPr>
          </w:p>
        </w:tc>
      </w:tr>
      <w:tr w:rsidR="005F0AD3" w:rsidTr="00A00A74">
        <w:tc>
          <w:tcPr>
            <w:tcW w:w="9242" w:type="dxa"/>
            <w:gridSpan w:val="2"/>
            <w:tcBorders>
              <w:bottom w:val="single" w:sz="4" w:space="0" w:color="auto"/>
            </w:tcBorders>
            <w:shd w:val="clear" w:color="auto" w:fill="4F6228" w:themeFill="accent3" w:themeFillShade="80"/>
          </w:tcPr>
          <w:p w:rsidR="005F0AD3" w:rsidRDefault="00A00A74" w:rsidP="00A31762">
            <w:pPr>
              <w:rPr>
                <w:rFonts w:ascii="Calibri" w:eastAsia="Calibri" w:hAnsi="Calibri" w:cs="Calibri"/>
                <w:b/>
                <w:color w:val="000000"/>
                <w:sz w:val="22"/>
                <w:szCs w:val="22"/>
              </w:rPr>
            </w:pPr>
            <w:r w:rsidRPr="00507F15">
              <w:rPr>
                <w:rFonts w:ascii="Calibri" w:eastAsia="Calibri" w:hAnsi="Calibri" w:cs="Calibri"/>
                <w:b/>
                <w:color w:val="FFFFFF" w:themeColor="background1"/>
                <w:sz w:val="22"/>
                <w:szCs w:val="22"/>
              </w:rPr>
              <w:t>Cleaner Greener Oxford</w:t>
            </w:r>
          </w:p>
        </w:tc>
      </w:tr>
      <w:tr w:rsidR="00A00A74" w:rsidTr="00A00A74">
        <w:tc>
          <w:tcPr>
            <w:tcW w:w="1668" w:type="dxa"/>
            <w:tcBorders>
              <w:bottom w:val="nil"/>
              <w:right w:val="nil"/>
            </w:tcBorders>
          </w:tcPr>
          <w:p w:rsidR="00A00A74" w:rsidRPr="00A00A74" w:rsidRDefault="00A00A74" w:rsidP="00682A91">
            <w:pPr>
              <w:jc w:val="right"/>
              <w:rPr>
                <w:rFonts w:ascii="Calibri" w:eastAsia="Calibri" w:hAnsi="Calibri" w:cs="Calibri"/>
                <w:b/>
                <w:color w:val="4F6228" w:themeColor="accent3" w:themeShade="80"/>
                <w:sz w:val="8"/>
                <w:szCs w:val="8"/>
              </w:rPr>
            </w:pPr>
          </w:p>
          <w:p w:rsidR="00A00A74" w:rsidRPr="00A00A74" w:rsidRDefault="00A00A74" w:rsidP="00682A91">
            <w:pPr>
              <w:jc w:val="right"/>
              <w:rPr>
                <w:rFonts w:ascii="Calibri" w:eastAsia="Calibri" w:hAnsi="Calibri" w:cs="Calibri"/>
                <w:b/>
                <w:color w:val="4F6228" w:themeColor="accent3" w:themeShade="80"/>
                <w:sz w:val="22"/>
                <w:szCs w:val="22"/>
              </w:rPr>
            </w:pPr>
            <w:r w:rsidRPr="00A00A74">
              <w:rPr>
                <w:rFonts w:ascii="Calibri" w:eastAsia="Calibri" w:hAnsi="Calibri" w:cs="Calibri"/>
                <w:b/>
                <w:color w:val="4F6228" w:themeColor="accent3" w:themeShade="80"/>
                <w:sz w:val="22"/>
                <w:szCs w:val="22"/>
              </w:rPr>
              <w:t>Our Ambition:</w:t>
            </w:r>
          </w:p>
        </w:tc>
        <w:tc>
          <w:tcPr>
            <w:tcW w:w="7574" w:type="dxa"/>
            <w:tcBorders>
              <w:left w:val="nil"/>
              <w:bottom w:val="nil"/>
            </w:tcBorders>
          </w:tcPr>
          <w:p w:rsidR="00A00A74" w:rsidRPr="00A00A74" w:rsidRDefault="00A00A74" w:rsidP="00682A91">
            <w:pPr>
              <w:rPr>
                <w:rFonts w:ascii="Calibri" w:eastAsia="Calibri" w:hAnsi="Calibri" w:cs="Calibri"/>
                <w:b/>
                <w:color w:val="4F6228" w:themeColor="accent3" w:themeShade="80"/>
                <w:sz w:val="8"/>
                <w:szCs w:val="22"/>
              </w:rPr>
            </w:pPr>
          </w:p>
          <w:p w:rsidR="00A00A74" w:rsidRPr="00507F15" w:rsidRDefault="00A00A74" w:rsidP="00682A91">
            <w:pPr>
              <w:rPr>
                <w:rFonts w:ascii="Calibri" w:eastAsia="Calibri" w:hAnsi="Calibri" w:cs="Calibri"/>
                <w:b/>
                <w:color w:val="4F6228" w:themeColor="accent3" w:themeShade="80"/>
                <w:sz w:val="22"/>
                <w:szCs w:val="22"/>
              </w:rPr>
            </w:pPr>
            <w:r w:rsidRPr="00507F15">
              <w:rPr>
                <w:rFonts w:ascii="Calibri" w:eastAsia="Calibri" w:hAnsi="Calibri" w:cs="Calibri"/>
                <w:b/>
                <w:color w:val="4F6228" w:themeColor="accent3" w:themeShade="80"/>
                <w:sz w:val="22"/>
                <w:szCs w:val="22"/>
              </w:rPr>
              <w:t>A cl</w:t>
            </w:r>
            <w:r w:rsidR="007B6707">
              <w:rPr>
                <w:rFonts w:ascii="Calibri" w:eastAsia="Calibri" w:hAnsi="Calibri" w:cs="Calibri"/>
                <w:b/>
                <w:color w:val="4F6228" w:themeColor="accent3" w:themeShade="80"/>
                <w:sz w:val="22"/>
                <w:szCs w:val="22"/>
              </w:rPr>
              <w:t>eaner, greener Oxford -</w:t>
            </w:r>
            <w:r w:rsidR="00507F15" w:rsidRPr="00507F15">
              <w:rPr>
                <w:rFonts w:ascii="Calibri" w:eastAsia="Calibri" w:hAnsi="Calibri" w:cs="Calibri"/>
                <w:b/>
                <w:color w:val="4F6228" w:themeColor="accent3" w:themeShade="80"/>
                <w:sz w:val="22"/>
                <w:szCs w:val="22"/>
              </w:rPr>
              <w:t xml:space="preserve"> in the</w:t>
            </w:r>
            <w:r w:rsidR="00507F15" w:rsidRPr="00E71A9B">
              <w:rPr>
                <w:rFonts w:ascii="Calibri" w:eastAsia="Calibri" w:hAnsi="Calibri" w:cs="Calibri"/>
                <w:b/>
                <w:color w:val="4F6228" w:themeColor="accent3" w:themeShade="80"/>
                <w:szCs w:val="22"/>
              </w:rPr>
              <w:t xml:space="preserve"> </w:t>
            </w:r>
            <w:r w:rsidR="00E71A9B">
              <w:rPr>
                <w:rFonts w:ascii="Calibri" w:eastAsia="Calibri" w:hAnsi="Calibri" w:cs="Calibri"/>
                <w:b/>
                <w:color w:val="4F6228" w:themeColor="accent3" w:themeShade="80"/>
                <w:sz w:val="22"/>
                <w:szCs w:val="22"/>
              </w:rPr>
              <w:t>c</w:t>
            </w:r>
            <w:r w:rsidR="00507F15" w:rsidRPr="00E71A9B">
              <w:rPr>
                <w:rFonts w:ascii="Calibri" w:eastAsia="Calibri" w:hAnsi="Calibri" w:cs="Calibri"/>
                <w:b/>
                <w:color w:val="4F6228" w:themeColor="accent3" w:themeShade="80"/>
                <w:sz w:val="22"/>
                <w:szCs w:val="22"/>
              </w:rPr>
              <w:t>ity</w:t>
            </w:r>
            <w:r w:rsidR="003161C9" w:rsidRPr="00E71A9B">
              <w:rPr>
                <w:rFonts w:ascii="Calibri" w:eastAsia="Calibri" w:hAnsi="Calibri" w:cs="Calibri"/>
                <w:b/>
                <w:color w:val="4F6228" w:themeColor="accent3" w:themeShade="80"/>
                <w:sz w:val="22"/>
                <w:szCs w:val="22"/>
              </w:rPr>
              <w:t xml:space="preserve"> </w:t>
            </w:r>
            <w:r w:rsidR="003161C9">
              <w:rPr>
                <w:rFonts w:ascii="Calibri" w:eastAsia="Calibri" w:hAnsi="Calibri" w:cs="Calibri"/>
                <w:b/>
                <w:color w:val="4F6228" w:themeColor="accent3" w:themeShade="80"/>
                <w:sz w:val="22"/>
                <w:szCs w:val="22"/>
              </w:rPr>
              <w:t>c</w:t>
            </w:r>
            <w:r w:rsidRPr="00507F15">
              <w:rPr>
                <w:rFonts w:ascii="Calibri" w:eastAsia="Calibri" w:hAnsi="Calibri" w:cs="Calibri"/>
                <w:b/>
                <w:color w:val="4F6228" w:themeColor="accent3" w:themeShade="80"/>
                <w:sz w:val="22"/>
                <w:szCs w:val="22"/>
              </w:rPr>
              <w:t>entre, in our neighbourhoods and in all public spaces.</w:t>
            </w:r>
          </w:p>
          <w:p w:rsidR="00A00A74" w:rsidRPr="00A00A74" w:rsidRDefault="00A00A74" w:rsidP="00682A91">
            <w:pPr>
              <w:rPr>
                <w:rFonts w:ascii="Calibri" w:eastAsia="Calibri" w:hAnsi="Calibri" w:cs="Calibri"/>
                <w:b/>
                <w:color w:val="4F6228" w:themeColor="accent3" w:themeShade="80"/>
                <w:sz w:val="8"/>
                <w:szCs w:val="8"/>
              </w:rPr>
            </w:pPr>
          </w:p>
        </w:tc>
      </w:tr>
      <w:tr w:rsidR="00A00A74" w:rsidTr="00A00A74">
        <w:tc>
          <w:tcPr>
            <w:tcW w:w="1668" w:type="dxa"/>
            <w:tcBorders>
              <w:top w:val="nil"/>
              <w:right w:val="nil"/>
            </w:tcBorders>
          </w:tcPr>
          <w:p w:rsidR="00A00A74" w:rsidRPr="00A00A74" w:rsidRDefault="00A00A74" w:rsidP="00682A91">
            <w:pPr>
              <w:jc w:val="right"/>
              <w:rPr>
                <w:rFonts w:ascii="Calibri" w:eastAsia="Calibri" w:hAnsi="Calibri" w:cs="Calibri"/>
                <w:color w:val="4F6228" w:themeColor="accent3" w:themeShade="80"/>
                <w:sz w:val="22"/>
                <w:szCs w:val="22"/>
              </w:rPr>
            </w:pPr>
            <w:r w:rsidRPr="00A00A74">
              <w:rPr>
                <w:rFonts w:ascii="Calibri" w:eastAsia="Calibri" w:hAnsi="Calibri" w:cs="Calibri"/>
                <w:color w:val="4F6228" w:themeColor="accent3" w:themeShade="80"/>
                <w:sz w:val="22"/>
                <w:szCs w:val="22"/>
              </w:rPr>
              <w:t>Approach:</w:t>
            </w:r>
          </w:p>
        </w:tc>
        <w:tc>
          <w:tcPr>
            <w:tcW w:w="7574" w:type="dxa"/>
            <w:tcBorders>
              <w:top w:val="nil"/>
              <w:left w:val="nil"/>
            </w:tcBorders>
          </w:tcPr>
          <w:p w:rsidR="00A00A74" w:rsidRPr="00A00A74" w:rsidRDefault="000E4965" w:rsidP="004335B5">
            <w:pPr>
              <w:pStyle w:val="ListParagraph"/>
              <w:numPr>
                <w:ilvl w:val="0"/>
                <w:numId w:val="4"/>
              </w:numPr>
              <w:ind w:left="317"/>
              <w:rPr>
                <w:rFonts w:ascii="Calibri" w:eastAsia="Calibri" w:hAnsi="Calibri" w:cs="Calibri"/>
                <w:color w:val="4F6228" w:themeColor="accent3" w:themeShade="80"/>
                <w:sz w:val="22"/>
                <w:szCs w:val="22"/>
              </w:rPr>
            </w:pPr>
            <w:r>
              <w:rPr>
                <w:rFonts w:ascii="Calibri" w:eastAsia="Calibri" w:hAnsi="Calibri" w:cs="Calibri"/>
                <w:color w:val="4F6228" w:themeColor="accent3" w:themeShade="80"/>
                <w:sz w:val="22"/>
                <w:szCs w:val="22"/>
              </w:rPr>
              <w:t>Recycling and refuse collection</w:t>
            </w:r>
          </w:p>
          <w:p w:rsidR="00A00A74" w:rsidRDefault="000E4965" w:rsidP="004335B5">
            <w:pPr>
              <w:pStyle w:val="ListParagraph"/>
              <w:numPr>
                <w:ilvl w:val="0"/>
                <w:numId w:val="4"/>
              </w:numPr>
              <w:ind w:left="317"/>
              <w:rPr>
                <w:rFonts w:ascii="Calibri" w:eastAsia="Calibri" w:hAnsi="Calibri" w:cs="Calibri"/>
                <w:color w:val="4F6228" w:themeColor="accent3" w:themeShade="80"/>
                <w:sz w:val="22"/>
                <w:szCs w:val="22"/>
              </w:rPr>
            </w:pPr>
            <w:r>
              <w:rPr>
                <w:rFonts w:ascii="Calibri" w:eastAsia="Calibri" w:hAnsi="Calibri" w:cs="Calibri"/>
                <w:color w:val="4F6228" w:themeColor="accent3" w:themeShade="80"/>
                <w:sz w:val="22"/>
                <w:szCs w:val="22"/>
              </w:rPr>
              <w:t>Improving cleanliness in streets, neighbourhoods and open spaces</w:t>
            </w:r>
          </w:p>
          <w:p w:rsidR="000E4965" w:rsidRDefault="000E4965" w:rsidP="004335B5">
            <w:pPr>
              <w:pStyle w:val="ListParagraph"/>
              <w:numPr>
                <w:ilvl w:val="0"/>
                <w:numId w:val="4"/>
              </w:numPr>
              <w:ind w:left="317"/>
              <w:rPr>
                <w:rFonts w:ascii="Calibri" w:eastAsia="Calibri" w:hAnsi="Calibri" w:cs="Calibri"/>
                <w:color w:val="4F6228" w:themeColor="accent3" w:themeShade="80"/>
                <w:sz w:val="22"/>
                <w:szCs w:val="22"/>
              </w:rPr>
            </w:pPr>
            <w:r>
              <w:rPr>
                <w:rFonts w:ascii="Calibri" w:eastAsia="Calibri" w:hAnsi="Calibri" w:cs="Calibri"/>
                <w:color w:val="4F6228" w:themeColor="accent3" w:themeShade="80"/>
                <w:sz w:val="22"/>
                <w:szCs w:val="22"/>
              </w:rPr>
              <w:t>Reducing the Council’s carbon footprint</w:t>
            </w:r>
          </w:p>
          <w:p w:rsidR="000E4965" w:rsidRPr="000E4965" w:rsidRDefault="00507F15" w:rsidP="004335B5">
            <w:pPr>
              <w:pStyle w:val="ListParagraph"/>
              <w:numPr>
                <w:ilvl w:val="0"/>
                <w:numId w:val="4"/>
              </w:numPr>
              <w:ind w:left="317"/>
              <w:rPr>
                <w:rFonts w:ascii="Calibri" w:eastAsia="Calibri" w:hAnsi="Calibri" w:cs="Calibri"/>
                <w:color w:val="4F6228" w:themeColor="accent3" w:themeShade="80"/>
                <w:sz w:val="22"/>
                <w:szCs w:val="22"/>
              </w:rPr>
            </w:pPr>
            <w:r>
              <w:rPr>
                <w:rFonts w:ascii="Calibri" w:eastAsia="Calibri" w:hAnsi="Calibri" w:cs="Calibri"/>
                <w:color w:val="4F6228" w:themeColor="accent3" w:themeShade="80"/>
                <w:sz w:val="22"/>
                <w:szCs w:val="22"/>
              </w:rPr>
              <w:t xml:space="preserve">Reducing the </w:t>
            </w:r>
            <w:r w:rsidR="003161C9">
              <w:rPr>
                <w:rFonts w:ascii="Calibri" w:eastAsia="Calibri" w:hAnsi="Calibri" w:cs="Calibri"/>
                <w:color w:val="4F6228" w:themeColor="accent3" w:themeShade="80"/>
                <w:sz w:val="22"/>
                <w:szCs w:val="22"/>
              </w:rPr>
              <w:t>city</w:t>
            </w:r>
            <w:r w:rsidR="007B6707">
              <w:rPr>
                <w:rFonts w:ascii="Calibri" w:eastAsia="Calibri" w:hAnsi="Calibri" w:cs="Calibri"/>
                <w:color w:val="4F6228" w:themeColor="accent3" w:themeShade="80"/>
                <w:sz w:val="22"/>
                <w:szCs w:val="22"/>
              </w:rPr>
              <w:t>’s c</w:t>
            </w:r>
            <w:r>
              <w:rPr>
                <w:rFonts w:ascii="Calibri" w:eastAsia="Calibri" w:hAnsi="Calibri" w:cs="Calibri"/>
                <w:color w:val="4F6228" w:themeColor="accent3" w:themeShade="80"/>
                <w:sz w:val="22"/>
                <w:szCs w:val="22"/>
              </w:rPr>
              <w:t>arbon footprint</w:t>
            </w:r>
          </w:p>
          <w:p w:rsidR="00A00A74" w:rsidRPr="00A00A74" w:rsidRDefault="00A00A74" w:rsidP="00682A91">
            <w:pPr>
              <w:rPr>
                <w:rFonts w:ascii="Calibri" w:eastAsia="Calibri" w:hAnsi="Calibri" w:cs="Calibri"/>
                <w:color w:val="4F6228" w:themeColor="accent3" w:themeShade="80"/>
                <w:sz w:val="12"/>
                <w:szCs w:val="12"/>
              </w:rPr>
            </w:pPr>
          </w:p>
        </w:tc>
      </w:tr>
      <w:tr w:rsidR="00A00A74" w:rsidTr="000E4965">
        <w:tc>
          <w:tcPr>
            <w:tcW w:w="9242" w:type="dxa"/>
            <w:gridSpan w:val="2"/>
            <w:tcBorders>
              <w:bottom w:val="single" w:sz="4" w:space="0" w:color="auto"/>
            </w:tcBorders>
            <w:shd w:val="clear" w:color="auto" w:fill="403152" w:themeFill="accent4" w:themeFillShade="80"/>
          </w:tcPr>
          <w:p w:rsidR="00A00A74" w:rsidRPr="000E4965" w:rsidRDefault="000E4965" w:rsidP="00A31762">
            <w:pPr>
              <w:rPr>
                <w:rFonts w:ascii="Calibri" w:eastAsia="Calibri" w:hAnsi="Calibri" w:cs="Calibri"/>
                <w:b/>
                <w:color w:val="FFFFFF" w:themeColor="background1"/>
                <w:sz w:val="22"/>
                <w:szCs w:val="22"/>
              </w:rPr>
            </w:pPr>
            <w:r w:rsidRPr="00507F15">
              <w:rPr>
                <w:rFonts w:ascii="Calibri" w:eastAsia="Calibri" w:hAnsi="Calibri" w:cs="Calibri"/>
                <w:b/>
                <w:color w:val="FFFFFF" w:themeColor="background1"/>
                <w:sz w:val="22"/>
                <w:szCs w:val="22"/>
              </w:rPr>
              <w:t>Effective and Efficient Council</w:t>
            </w:r>
          </w:p>
        </w:tc>
      </w:tr>
      <w:tr w:rsidR="00A00A74" w:rsidTr="000E4965">
        <w:tc>
          <w:tcPr>
            <w:tcW w:w="1668" w:type="dxa"/>
            <w:tcBorders>
              <w:bottom w:val="nil"/>
              <w:right w:val="nil"/>
            </w:tcBorders>
          </w:tcPr>
          <w:p w:rsidR="00A00A74" w:rsidRPr="000E4965" w:rsidRDefault="00A00A74" w:rsidP="00682A91">
            <w:pPr>
              <w:jc w:val="right"/>
              <w:rPr>
                <w:rFonts w:ascii="Calibri" w:eastAsia="Calibri" w:hAnsi="Calibri" w:cs="Calibri"/>
                <w:b/>
                <w:color w:val="403152" w:themeColor="accent4" w:themeShade="80"/>
                <w:sz w:val="8"/>
                <w:szCs w:val="8"/>
              </w:rPr>
            </w:pPr>
          </w:p>
          <w:p w:rsidR="00A00A74" w:rsidRPr="000E4965" w:rsidRDefault="00A00A74" w:rsidP="00682A91">
            <w:pPr>
              <w:jc w:val="right"/>
              <w:rPr>
                <w:rFonts w:ascii="Calibri" w:eastAsia="Calibri" w:hAnsi="Calibri" w:cs="Calibri"/>
                <w:b/>
                <w:color w:val="403152" w:themeColor="accent4" w:themeShade="80"/>
                <w:sz w:val="22"/>
                <w:szCs w:val="22"/>
              </w:rPr>
            </w:pPr>
            <w:r w:rsidRPr="000E4965">
              <w:rPr>
                <w:rFonts w:ascii="Calibri" w:eastAsia="Calibri" w:hAnsi="Calibri" w:cs="Calibri"/>
                <w:b/>
                <w:color w:val="403152" w:themeColor="accent4" w:themeShade="80"/>
                <w:sz w:val="22"/>
                <w:szCs w:val="22"/>
              </w:rPr>
              <w:t>Our Ambition:</w:t>
            </w:r>
          </w:p>
        </w:tc>
        <w:tc>
          <w:tcPr>
            <w:tcW w:w="7574" w:type="dxa"/>
            <w:tcBorders>
              <w:left w:val="nil"/>
              <w:bottom w:val="nil"/>
            </w:tcBorders>
          </w:tcPr>
          <w:p w:rsidR="00A00A74" w:rsidRPr="000E4965" w:rsidRDefault="00A00A74" w:rsidP="00682A91">
            <w:pPr>
              <w:rPr>
                <w:rFonts w:ascii="Calibri" w:eastAsia="Calibri" w:hAnsi="Calibri" w:cs="Calibri"/>
                <w:b/>
                <w:color w:val="403152" w:themeColor="accent4" w:themeShade="80"/>
                <w:sz w:val="8"/>
                <w:szCs w:val="22"/>
              </w:rPr>
            </w:pPr>
          </w:p>
          <w:p w:rsidR="00A00A74" w:rsidRPr="00507F15" w:rsidRDefault="000E4965" w:rsidP="00682A91">
            <w:pPr>
              <w:rPr>
                <w:rFonts w:ascii="Calibri" w:eastAsia="Calibri" w:hAnsi="Calibri" w:cs="Calibri"/>
                <w:b/>
                <w:color w:val="403152" w:themeColor="accent4" w:themeShade="80"/>
                <w:sz w:val="22"/>
                <w:szCs w:val="22"/>
              </w:rPr>
            </w:pPr>
            <w:r w:rsidRPr="00507F15">
              <w:rPr>
                <w:rFonts w:ascii="Calibri" w:eastAsia="Calibri" w:hAnsi="Calibri" w:cs="Calibri"/>
                <w:b/>
                <w:color w:val="403152" w:themeColor="accent4" w:themeShade="80"/>
                <w:sz w:val="22"/>
                <w:szCs w:val="22"/>
              </w:rPr>
              <w:t xml:space="preserve">A flexible and </w:t>
            </w:r>
            <w:r w:rsidR="00507F15" w:rsidRPr="00507F15">
              <w:rPr>
                <w:rFonts w:ascii="Calibri" w:eastAsia="Calibri" w:hAnsi="Calibri" w:cs="Calibri"/>
                <w:b/>
                <w:color w:val="403152" w:themeColor="accent4" w:themeShade="80"/>
                <w:sz w:val="22"/>
                <w:szCs w:val="22"/>
              </w:rPr>
              <w:t>digitally enabled</w:t>
            </w:r>
            <w:r w:rsidRPr="00507F15">
              <w:rPr>
                <w:rFonts w:ascii="Calibri" w:eastAsia="Calibri" w:hAnsi="Calibri" w:cs="Calibri"/>
                <w:b/>
                <w:color w:val="403152" w:themeColor="accent4" w:themeShade="80"/>
                <w:sz w:val="22"/>
                <w:szCs w:val="22"/>
              </w:rPr>
              <w:t xml:space="preserve"> organisation, delivering high-quality, value-for-money services</w:t>
            </w:r>
          </w:p>
          <w:p w:rsidR="000E4965" w:rsidRPr="000E4965" w:rsidRDefault="000E4965" w:rsidP="00682A91">
            <w:pPr>
              <w:rPr>
                <w:rFonts w:ascii="Calibri" w:eastAsia="Calibri" w:hAnsi="Calibri" w:cs="Calibri"/>
                <w:b/>
                <w:color w:val="403152" w:themeColor="accent4" w:themeShade="80"/>
                <w:sz w:val="8"/>
                <w:szCs w:val="8"/>
              </w:rPr>
            </w:pPr>
          </w:p>
        </w:tc>
      </w:tr>
      <w:tr w:rsidR="00A00A74" w:rsidTr="000E4965">
        <w:tc>
          <w:tcPr>
            <w:tcW w:w="1668" w:type="dxa"/>
            <w:tcBorders>
              <w:top w:val="nil"/>
              <w:right w:val="nil"/>
            </w:tcBorders>
          </w:tcPr>
          <w:p w:rsidR="00A00A74" w:rsidRPr="000E4965" w:rsidRDefault="00A00A74" w:rsidP="00682A91">
            <w:pPr>
              <w:jc w:val="right"/>
              <w:rPr>
                <w:rFonts w:ascii="Calibri" w:eastAsia="Calibri" w:hAnsi="Calibri" w:cs="Calibri"/>
                <w:color w:val="403152" w:themeColor="accent4" w:themeShade="80"/>
                <w:sz w:val="22"/>
                <w:szCs w:val="22"/>
              </w:rPr>
            </w:pPr>
            <w:r w:rsidRPr="000E4965">
              <w:rPr>
                <w:rFonts w:ascii="Calibri" w:eastAsia="Calibri" w:hAnsi="Calibri" w:cs="Calibri"/>
                <w:color w:val="403152" w:themeColor="accent4" w:themeShade="80"/>
                <w:sz w:val="22"/>
                <w:szCs w:val="22"/>
              </w:rPr>
              <w:t>Approach:</w:t>
            </w:r>
          </w:p>
        </w:tc>
        <w:tc>
          <w:tcPr>
            <w:tcW w:w="7574" w:type="dxa"/>
            <w:tcBorders>
              <w:top w:val="nil"/>
              <w:left w:val="nil"/>
            </w:tcBorders>
          </w:tcPr>
          <w:p w:rsidR="00A00A74" w:rsidRDefault="007B6707" w:rsidP="004335B5">
            <w:pPr>
              <w:pStyle w:val="ListParagraph"/>
              <w:numPr>
                <w:ilvl w:val="0"/>
                <w:numId w:val="4"/>
              </w:numPr>
              <w:ind w:left="317"/>
              <w:rPr>
                <w:rFonts w:ascii="Calibri" w:eastAsia="Calibri" w:hAnsi="Calibri" w:cs="Calibri"/>
                <w:color w:val="403152" w:themeColor="accent4" w:themeShade="80"/>
                <w:sz w:val="22"/>
                <w:szCs w:val="22"/>
              </w:rPr>
            </w:pPr>
            <w:r>
              <w:rPr>
                <w:rFonts w:ascii="Calibri" w:eastAsia="Calibri" w:hAnsi="Calibri" w:cs="Calibri"/>
                <w:color w:val="403152" w:themeColor="accent4" w:themeShade="80"/>
                <w:sz w:val="22"/>
                <w:szCs w:val="22"/>
              </w:rPr>
              <w:t>The customer first p</w:t>
            </w:r>
            <w:r w:rsidR="000E4965">
              <w:rPr>
                <w:rFonts w:ascii="Calibri" w:eastAsia="Calibri" w:hAnsi="Calibri" w:cs="Calibri"/>
                <w:color w:val="403152" w:themeColor="accent4" w:themeShade="80"/>
                <w:sz w:val="22"/>
                <w:szCs w:val="22"/>
              </w:rPr>
              <w:t>rogramme</w:t>
            </w:r>
          </w:p>
          <w:p w:rsidR="000E4965" w:rsidRDefault="000E4965" w:rsidP="004335B5">
            <w:pPr>
              <w:pStyle w:val="ListParagraph"/>
              <w:numPr>
                <w:ilvl w:val="0"/>
                <w:numId w:val="4"/>
              </w:numPr>
              <w:ind w:left="317"/>
              <w:rPr>
                <w:rFonts w:ascii="Calibri" w:eastAsia="Calibri" w:hAnsi="Calibri" w:cs="Calibri"/>
                <w:color w:val="403152" w:themeColor="accent4" w:themeShade="80"/>
                <w:sz w:val="22"/>
                <w:szCs w:val="22"/>
              </w:rPr>
            </w:pPr>
            <w:r>
              <w:rPr>
                <w:rFonts w:ascii="Calibri" w:eastAsia="Calibri" w:hAnsi="Calibri" w:cs="Calibri"/>
                <w:color w:val="403152" w:themeColor="accent4" w:themeShade="80"/>
                <w:sz w:val="22"/>
                <w:szCs w:val="22"/>
              </w:rPr>
              <w:t>Improving our processes</w:t>
            </w:r>
          </w:p>
          <w:p w:rsidR="000E4965" w:rsidRDefault="000E4965" w:rsidP="004335B5">
            <w:pPr>
              <w:pStyle w:val="ListParagraph"/>
              <w:numPr>
                <w:ilvl w:val="0"/>
                <w:numId w:val="4"/>
              </w:numPr>
              <w:ind w:left="317"/>
              <w:rPr>
                <w:rFonts w:ascii="Calibri" w:eastAsia="Calibri" w:hAnsi="Calibri" w:cs="Calibri"/>
                <w:color w:val="403152" w:themeColor="accent4" w:themeShade="80"/>
                <w:sz w:val="22"/>
                <w:szCs w:val="22"/>
              </w:rPr>
            </w:pPr>
            <w:r>
              <w:rPr>
                <w:rFonts w:ascii="Calibri" w:eastAsia="Calibri" w:hAnsi="Calibri" w:cs="Calibri"/>
                <w:color w:val="403152" w:themeColor="accent4" w:themeShade="80"/>
                <w:sz w:val="22"/>
                <w:szCs w:val="22"/>
              </w:rPr>
              <w:t>Better procurement and contract management</w:t>
            </w:r>
          </w:p>
          <w:p w:rsidR="00507F15" w:rsidRDefault="00507F15" w:rsidP="004335B5">
            <w:pPr>
              <w:pStyle w:val="ListParagraph"/>
              <w:numPr>
                <w:ilvl w:val="0"/>
                <w:numId w:val="4"/>
              </w:numPr>
              <w:ind w:left="317"/>
              <w:rPr>
                <w:rFonts w:ascii="Calibri" w:eastAsia="Calibri" w:hAnsi="Calibri" w:cs="Calibri"/>
                <w:color w:val="403152" w:themeColor="accent4" w:themeShade="80"/>
                <w:sz w:val="22"/>
                <w:szCs w:val="22"/>
              </w:rPr>
            </w:pPr>
            <w:r>
              <w:rPr>
                <w:rFonts w:ascii="Calibri" w:eastAsia="Calibri" w:hAnsi="Calibri" w:cs="Calibri"/>
                <w:color w:val="403152" w:themeColor="accent4" w:themeShade="80"/>
                <w:sz w:val="22"/>
                <w:szCs w:val="22"/>
              </w:rPr>
              <w:t>Trading and business development</w:t>
            </w:r>
          </w:p>
          <w:p w:rsidR="000E4965" w:rsidRPr="000E4965" w:rsidRDefault="000E4965" w:rsidP="004335B5">
            <w:pPr>
              <w:pStyle w:val="ListParagraph"/>
              <w:numPr>
                <w:ilvl w:val="0"/>
                <w:numId w:val="4"/>
              </w:numPr>
              <w:ind w:left="317"/>
              <w:rPr>
                <w:rFonts w:ascii="Calibri" w:eastAsia="Calibri" w:hAnsi="Calibri" w:cs="Calibri"/>
                <w:color w:val="403152" w:themeColor="accent4" w:themeShade="80"/>
                <w:sz w:val="22"/>
                <w:szCs w:val="22"/>
              </w:rPr>
            </w:pPr>
            <w:r>
              <w:rPr>
                <w:rFonts w:ascii="Calibri" w:eastAsia="Calibri" w:hAnsi="Calibri" w:cs="Calibri"/>
                <w:color w:val="403152" w:themeColor="accent4" w:themeShade="80"/>
                <w:sz w:val="22"/>
                <w:szCs w:val="22"/>
              </w:rPr>
              <w:t>Organisation development</w:t>
            </w:r>
          </w:p>
          <w:p w:rsidR="00A00A74" w:rsidRPr="000E4965" w:rsidRDefault="00A00A74" w:rsidP="000E4965">
            <w:pPr>
              <w:ind w:left="-43"/>
              <w:rPr>
                <w:rFonts w:ascii="Calibri" w:eastAsia="Calibri" w:hAnsi="Calibri" w:cs="Calibri"/>
                <w:color w:val="403152" w:themeColor="accent4" w:themeShade="80"/>
                <w:sz w:val="12"/>
                <w:szCs w:val="12"/>
              </w:rPr>
            </w:pPr>
          </w:p>
        </w:tc>
      </w:tr>
    </w:tbl>
    <w:p w:rsidR="00A73CF4" w:rsidRDefault="00A73CF4" w:rsidP="00A31762">
      <w:pPr>
        <w:rPr>
          <w:rFonts w:ascii="Calibri" w:eastAsia="Calibri" w:hAnsi="Calibri" w:cs="Calibri"/>
          <w:b/>
          <w:color w:val="000000"/>
          <w:sz w:val="22"/>
          <w:szCs w:val="22"/>
        </w:rPr>
      </w:pPr>
    </w:p>
    <w:p w:rsidR="00507F15" w:rsidRDefault="00507F15" w:rsidP="00A31762">
      <w:pPr>
        <w:rPr>
          <w:rFonts w:ascii="Calibri" w:eastAsia="Calibri" w:hAnsi="Calibri" w:cs="Calibri"/>
          <w:b/>
          <w:color w:val="000000"/>
          <w:sz w:val="22"/>
          <w:szCs w:val="22"/>
        </w:rPr>
      </w:pPr>
    </w:p>
    <w:p w:rsidR="00A73CF4" w:rsidRPr="007B6707" w:rsidRDefault="00A73CF4" w:rsidP="00A31762">
      <w:pPr>
        <w:rPr>
          <w:rFonts w:ascii="Calibri" w:eastAsia="Calibri" w:hAnsi="Calibri" w:cs="Calibri"/>
          <w:b/>
          <w:color w:val="000000"/>
          <w:szCs w:val="22"/>
        </w:rPr>
      </w:pPr>
      <w:r w:rsidRPr="007B6707">
        <w:rPr>
          <w:rFonts w:ascii="Calibri" w:eastAsia="Calibri" w:hAnsi="Calibri" w:cs="Calibri"/>
          <w:b/>
          <w:color w:val="000000"/>
          <w:szCs w:val="22"/>
        </w:rPr>
        <w:t>Oxford: A world C</w:t>
      </w:r>
      <w:r w:rsidR="00EB05F5" w:rsidRPr="007B6707">
        <w:rPr>
          <w:rFonts w:ascii="Calibri" w:eastAsia="Calibri" w:hAnsi="Calibri" w:cs="Calibri"/>
          <w:b/>
          <w:color w:val="000000"/>
          <w:szCs w:val="22"/>
        </w:rPr>
        <w:t xml:space="preserve">lass City for Everyone 2012-18 </w:t>
      </w:r>
      <w:r w:rsidRPr="00E71A9B">
        <w:rPr>
          <w:rFonts w:ascii="Calibri" w:eastAsia="Calibri" w:hAnsi="Calibri" w:cs="Calibri"/>
          <w:color w:val="000000"/>
          <w:sz w:val="22"/>
          <w:szCs w:val="22"/>
        </w:rPr>
        <w:t>(Oxford Strategic Partnership)</w:t>
      </w:r>
    </w:p>
    <w:p w:rsidR="005F0AD3" w:rsidRPr="00A73CF4" w:rsidRDefault="005F0AD3" w:rsidP="00A31762">
      <w:pPr>
        <w:rPr>
          <w:rFonts w:ascii="Calibri" w:eastAsia="Calibri" w:hAnsi="Calibri" w:cs="Calibri"/>
          <w:b/>
          <w:color w:val="000000"/>
          <w:sz w:val="12"/>
          <w:szCs w:val="22"/>
        </w:rPr>
      </w:pPr>
    </w:p>
    <w:p w:rsidR="000C3DDE" w:rsidRPr="00507F15" w:rsidRDefault="00A73CF4"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sidRPr="00A73CF4">
        <w:rPr>
          <w:rFonts w:ascii="Calibri" w:eastAsia="Calibri" w:hAnsi="Calibri" w:cs="Calibri"/>
          <w:color w:val="000000"/>
          <w:sz w:val="22"/>
          <w:szCs w:val="22"/>
        </w:rPr>
        <w:t>The Oxford Strategic Partnership’s vision is that Oxford should be a city in which all citizens feel happy to live and experience a high quality of life: a world-class city for everyone.</w:t>
      </w:r>
    </w:p>
    <w:p w:rsidR="000C3DDE" w:rsidRPr="000C3DDE" w:rsidRDefault="00AF195F" w:rsidP="000C3DDE">
      <w:pPr>
        <w:autoSpaceDE w:val="0"/>
        <w:autoSpaceDN w:val="0"/>
        <w:adjustRightInd w:val="0"/>
        <w:spacing w:after="200" w:line="276" w:lineRule="auto"/>
        <w:jc w:val="both"/>
        <w:rPr>
          <w:rFonts w:ascii="Calibri" w:eastAsia="Calibri" w:hAnsi="Calibri" w:cs="Calibri"/>
          <w:color w:val="000000"/>
          <w:sz w:val="22"/>
          <w:szCs w:val="22"/>
        </w:rPr>
      </w:pPr>
      <w:r w:rsidRPr="00AF195F">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07744" behindDoc="0" locked="0" layoutInCell="1" allowOverlap="1" wp14:anchorId="21A1FA8E" wp14:editId="5E15E4AA">
                <wp:simplePos x="0" y="0"/>
                <wp:positionH relativeFrom="column">
                  <wp:posOffset>4349115</wp:posOffset>
                </wp:positionH>
                <wp:positionV relativeFrom="paragraph">
                  <wp:posOffset>-564515</wp:posOffset>
                </wp:positionV>
                <wp:extent cx="1722755" cy="352425"/>
                <wp:effectExtent l="0" t="0" r="0" b="9525"/>
                <wp:wrapNone/>
                <wp:docPr id="117" name="Text Box 117"/>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AF195F">
                            <w:pPr>
                              <w:jc w:val="right"/>
                              <w:rPr>
                                <w:b/>
                                <w:color w:val="595959" w:themeColor="text1" w:themeTint="A6"/>
                              </w:rPr>
                            </w:pPr>
                            <w:r>
                              <w:rPr>
                                <w:b/>
                                <w:color w:val="595959" w:themeColor="text1" w:themeTint="A6"/>
                              </w:rPr>
                              <w:t xml:space="preserve">Traffic Light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7" o:spid="_x0000_s1031" type="#_x0000_t202" style="position:absolute;left:0;text-align:left;margin-left:342.45pt;margin-top:-44.45pt;width:135.65pt;height:27.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" fillcolor="window" stroked="f" strokeweight=".5pt">
                <v:textbox>
                  <w:txbxContent>
                    <w:p w:rsidR="000D3CFF" w:rsidRPr="00280EB5" w:rsidRDefault="000D3CFF" w:rsidP="00AF195F">
                      <w:pPr>
                        <w:jc w:val="right"/>
                        <w:rPr>
                          <w:b/>
                          <w:color w:val="595959" w:themeColor="text1" w:themeTint="A6"/>
                        </w:rPr>
                      </w:pPr>
                      <w:r>
                        <w:rPr>
                          <w:b/>
                          <w:color w:val="595959" w:themeColor="text1" w:themeTint="A6"/>
                        </w:rPr>
                        <w:t xml:space="preserve">Traffic Light System </w:t>
                      </w:r>
                    </w:p>
                  </w:txbxContent>
                </v:textbox>
              </v:shape>
            </w:pict>
          </mc:Fallback>
        </mc:AlternateContent>
      </w:r>
      <w:r w:rsidR="000C3DDE">
        <w:rPr>
          <w:rFonts w:ascii="Calibri" w:eastAsia="Calibri" w:hAnsi="Calibri" w:cs="Calibri"/>
          <w:b/>
          <w:noProof/>
          <w:color w:val="000000"/>
          <w:sz w:val="32"/>
          <w:szCs w:val="22"/>
          <w:lang w:eastAsia="en-GB"/>
        </w:rPr>
        <w:t>The Traffic Light System</w:t>
      </w:r>
    </w:p>
    <w:p w:rsidR="000C3DDE" w:rsidRDefault="000C3DDE"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following symbols are used throughout the report to summarise how each indicator is preforming in relation to the target:</w:t>
      </w:r>
    </w:p>
    <w:p w:rsidR="00FD1376" w:rsidRDefault="00FD1376" w:rsidP="000C3DDE">
      <w:pPr>
        <w:pStyle w:val="ListParagraph"/>
        <w:autoSpaceDE w:val="0"/>
        <w:autoSpaceDN w:val="0"/>
        <w:adjustRightInd w:val="0"/>
        <w:spacing w:after="200" w:line="276" w:lineRule="auto"/>
        <w:ind w:left="360"/>
        <w:jc w:val="both"/>
        <w:rPr>
          <w:rFonts w:ascii="Calibri" w:eastAsia="Calibri" w:hAnsi="Calibri" w:cs="Calibri"/>
          <w:color w:val="00000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237"/>
      </w:tblGrid>
      <w:tr w:rsidR="000C3DDE" w:rsidTr="00224FDF">
        <w:tc>
          <w:tcPr>
            <w:tcW w:w="2583" w:type="dxa"/>
            <w:shd w:val="clear" w:color="auto" w:fill="auto"/>
          </w:tcPr>
          <w:p w:rsidR="000C3DDE" w:rsidRDefault="000C3DDE" w:rsidP="00E4062C">
            <w:pPr>
              <w:pStyle w:val="ListParagraph"/>
              <w:autoSpaceDE w:val="0"/>
              <w:autoSpaceDN w:val="0"/>
              <w:adjustRightInd w:val="0"/>
              <w:ind w:left="0"/>
              <w:jc w:val="center"/>
              <w:rPr>
                <w:rFonts w:ascii="Calibri" w:eastAsia="Calibri" w:hAnsi="Calibri" w:cs="Calibri"/>
                <w:color w:val="000000"/>
                <w:sz w:val="22"/>
                <w:szCs w:val="22"/>
              </w:rPr>
            </w:pPr>
          </w:p>
          <w:p w:rsidR="000C3DDE" w:rsidRDefault="000C3DDE" w:rsidP="00E4062C">
            <w:pPr>
              <w:pStyle w:val="ListParagraph"/>
              <w:autoSpaceDE w:val="0"/>
              <w:autoSpaceDN w:val="0"/>
              <w:adjustRightInd w:val="0"/>
              <w:ind w:left="0"/>
              <w:jc w:val="center"/>
              <w:rPr>
                <w:rFonts w:ascii="Calibri" w:eastAsia="Calibri" w:hAnsi="Calibri" w:cs="Calibri"/>
                <w:color w:val="000000"/>
                <w:sz w:val="22"/>
                <w:szCs w:val="22"/>
              </w:rPr>
            </w:pPr>
            <w:r>
              <w:rPr>
                <w:rFonts w:cs="Calibri"/>
                <w:noProof/>
                <w:color w:val="000000"/>
                <w:lang w:eastAsia="en-GB"/>
              </w:rPr>
              <w:drawing>
                <wp:inline distT="0" distB="0" distL="0" distR="0" wp14:anchorId="08F227C0" wp14:editId="4CEBA9FF">
                  <wp:extent cx="1485900" cy="452438"/>
                  <wp:effectExtent l="0" t="0" r="0" b="5080"/>
                  <wp:docPr id="10" name="Picture 10" descr="Description: M:\Planning\plan_policy\Annual Monitoring Report\TrafficLight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Planning\plan_policy\Annual Monitoring Report\TrafficLightGree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341" cy="471755"/>
                          </a:xfrm>
                          <a:prstGeom prst="rect">
                            <a:avLst/>
                          </a:prstGeom>
                          <a:noFill/>
                          <a:ln>
                            <a:noFill/>
                          </a:ln>
                        </pic:spPr>
                      </pic:pic>
                    </a:graphicData>
                  </a:graphic>
                </wp:inline>
              </w:drawing>
            </w:r>
          </w:p>
          <w:p w:rsidR="000C3DDE" w:rsidRDefault="000C3DDE" w:rsidP="00E4062C">
            <w:pPr>
              <w:pStyle w:val="ListParagraph"/>
              <w:autoSpaceDE w:val="0"/>
              <w:autoSpaceDN w:val="0"/>
              <w:adjustRightInd w:val="0"/>
              <w:ind w:left="0"/>
              <w:rPr>
                <w:rFonts w:ascii="Calibri" w:eastAsia="Calibri" w:hAnsi="Calibri" w:cs="Calibri"/>
                <w:color w:val="000000"/>
                <w:sz w:val="22"/>
                <w:szCs w:val="22"/>
              </w:rPr>
            </w:pPr>
          </w:p>
          <w:p w:rsidR="000C3DDE" w:rsidRDefault="000C3DDE" w:rsidP="00E4062C">
            <w:pPr>
              <w:pStyle w:val="ListParagraph"/>
              <w:autoSpaceDE w:val="0"/>
              <w:autoSpaceDN w:val="0"/>
              <w:adjustRightInd w:val="0"/>
              <w:ind w:left="0"/>
              <w:rPr>
                <w:rFonts w:ascii="Calibri" w:eastAsia="Calibri" w:hAnsi="Calibri" w:cs="Calibri"/>
                <w:color w:val="000000"/>
                <w:sz w:val="22"/>
                <w:szCs w:val="22"/>
              </w:rPr>
            </w:pPr>
          </w:p>
          <w:p w:rsidR="000C3DDE" w:rsidRPr="006678E8" w:rsidRDefault="000C3DDE" w:rsidP="00E4062C">
            <w:pPr>
              <w:pStyle w:val="ListParagraph"/>
              <w:autoSpaceDE w:val="0"/>
              <w:autoSpaceDN w:val="0"/>
              <w:adjustRightInd w:val="0"/>
              <w:ind w:left="0"/>
              <w:rPr>
                <w:rFonts w:ascii="Calibri" w:eastAsia="Calibri" w:hAnsi="Calibri" w:cs="Calibri"/>
                <w:color w:val="000000"/>
                <w:sz w:val="12"/>
                <w:szCs w:val="12"/>
              </w:rPr>
            </w:pPr>
          </w:p>
        </w:tc>
        <w:tc>
          <w:tcPr>
            <w:tcW w:w="6237" w:type="dxa"/>
            <w:shd w:val="clear" w:color="auto" w:fill="auto"/>
          </w:tcPr>
          <w:p w:rsidR="000C3DDE" w:rsidRDefault="000C3DDE" w:rsidP="00E4062C">
            <w:pPr>
              <w:rPr>
                <w:rFonts w:ascii="Calibri" w:eastAsia="Calibri" w:hAnsi="Calibri" w:cs="Times New Roman"/>
                <w:b/>
                <w:color w:val="008A3E"/>
                <w:sz w:val="22"/>
                <w:szCs w:val="22"/>
              </w:rPr>
            </w:pPr>
          </w:p>
          <w:p w:rsidR="000C3DDE" w:rsidRDefault="000C3DDE" w:rsidP="00E4062C">
            <w:pPr>
              <w:rPr>
                <w:rFonts w:ascii="Calibri" w:eastAsia="Calibri" w:hAnsi="Calibri" w:cs="Times New Roman"/>
                <w:sz w:val="22"/>
                <w:szCs w:val="22"/>
              </w:rPr>
            </w:pPr>
            <w:r w:rsidRPr="007B6707">
              <w:rPr>
                <w:rFonts w:ascii="Calibri" w:eastAsia="Calibri" w:hAnsi="Calibri" w:cs="Times New Roman"/>
                <w:b/>
                <w:color w:val="008A3E"/>
                <w:szCs w:val="22"/>
              </w:rPr>
              <w:t>Explanation:</w:t>
            </w:r>
            <w:r w:rsidRPr="00D245E0">
              <w:rPr>
                <w:rFonts w:ascii="Calibri" w:eastAsia="Calibri" w:hAnsi="Calibri" w:cs="Times New Roman"/>
                <w:b/>
                <w:color w:val="008A3E"/>
                <w:sz w:val="22"/>
                <w:szCs w:val="22"/>
              </w:rPr>
              <w:t xml:space="preserve"> </w:t>
            </w:r>
            <w:r w:rsidRPr="00D245E0">
              <w:rPr>
                <w:rFonts w:ascii="Calibri" w:eastAsia="Calibri" w:hAnsi="Calibri" w:cs="Times New Roman"/>
                <w:sz w:val="22"/>
                <w:szCs w:val="22"/>
              </w:rPr>
              <w:t xml:space="preserve"> Targets and objectives have been met</w:t>
            </w:r>
            <w:r w:rsidR="007B6707">
              <w:rPr>
                <w:rFonts w:ascii="Calibri" w:eastAsia="Calibri" w:hAnsi="Calibri" w:cs="Times New Roman"/>
                <w:sz w:val="22"/>
                <w:szCs w:val="22"/>
              </w:rPr>
              <w:t>,</w:t>
            </w:r>
            <w:r w:rsidRPr="00D245E0">
              <w:rPr>
                <w:rFonts w:ascii="Calibri" w:eastAsia="Calibri" w:hAnsi="Calibri" w:cs="Times New Roman"/>
                <w:sz w:val="22"/>
                <w:szCs w:val="22"/>
              </w:rPr>
              <w:t xml:space="preserve"> or data indicates</w:t>
            </w:r>
            <w:r>
              <w:rPr>
                <w:rFonts w:ascii="Calibri" w:eastAsia="Calibri" w:hAnsi="Calibri" w:cs="Times New Roman"/>
                <w:sz w:val="22"/>
                <w:szCs w:val="22"/>
              </w:rPr>
              <w:t xml:space="preserve"> good</w:t>
            </w:r>
            <w:r w:rsidRPr="00D245E0">
              <w:rPr>
                <w:rFonts w:ascii="Calibri" w:eastAsia="Calibri" w:hAnsi="Calibri" w:cs="Times New Roman"/>
                <w:sz w:val="22"/>
                <w:szCs w:val="22"/>
              </w:rPr>
              <w:t xml:space="preserve"> progress</w:t>
            </w:r>
            <w:r w:rsidR="00587A41">
              <w:rPr>
                <w:rFonts w:ascii="Calibri" w:eastAsia="Calibri" w:hAnsi="Calibri" w:cs="Times New Roman"/>
                <w:sz w:val="22"/>
                <w:szCs w:val="22"/>
              </w:rPr>
              <w:t xml:space="preserve"> towards meeting them.</w:t>
            </w:r>
          </w:p>
          <w:p w:rsidR="000C3DDE" w:rsidRDefault="000C3DDE" w:rsidP="00E4062C">
            <w:pPr>
              <w:rPr>
                <w:rFonts w:ascii="Calibri" w:eastAsia="Calibri" w:hAnsi="Calibri" w:cs="Times New Roman"/>
                <w:sz w:val="22"/>
                <w:szCs w:val="22"/>
              </w:rPr>
            </w:pPr>
          </w:p>
          <w:p w:rsidR="000C3DDE" w:rsidRDefault="000C3DDE" w:rsidP="00E4062C">
            <w:pPr>
              <w:rPr>
                <w:rFonts w:ascii="Calibri" w:eastAsia="Calibri" w:hAnsi="Calibri" w:cs="Times New Roman"/>
                <w:sz w:val="22"/>
                <w:szCs w:val="22"/>
              </w:rPr>
            </w:pPr>
            <w:r w:rsidRPr="007B6707">
              <w:rPr>
                <w:rFonts w:ascii="Calibri" w:eastAsia="Calibri" w:hAnsi="Calibri" w:cs="Times New Roman"/>
                <w:b/>
                <w:color w:val="008A3E"/>
                <w:szCs w:val="22"/>
              </w:rPr>
              <w:t xml:space="preserve">Action: </w:t>
            </w:r>
            <w:r>
              <w:rPr>
                <w:rFonts w:ascii="Calibri" w:eastAsia="Calibri" w:hAnsi="Calibri" w:cs="Times New Roman"/>
                <w:sz w:val="22"/>
                <w:szCs w:val="22"/>
              </w:rPr>
              <w:t xml:space="preserve"> </w:t>
            </w:r>
            <w:r w:rsidR="00FD1376">
              <w:rPr>
                <w:rFonts w:ascii="Calibri" w:eastAsia="Calibri" w:hAnsi="Calibri" w:cs="Times New Roman"/>
                <w:sz w:val="22"/>
                <w:szCs w:val="22"/>
              </w:rPr>
              <w:t>None required.</w:t>
            </w:r>
            <w:r w:rsidR="00D012B5">
              <w:rPr>
                <w:rFonts w:ascii="Calibri" w:eastAsia="Calibri" w:hAnsi="Calibri" w:cs="Times New Roman"/>
                <w:sz w:val="22"/>
                <w:szCs w:val="22"/>
              </w:rPr>
              <w:t xml:space="preserve"> </w:t>
            </w:r>
          </w:p>
          <w:p w:rsidR="000C3DDE" w:rsidRDefault="000C3DDE" w:rsidP="00E4062C">
            <w:pPr>
              <w:rPr>
                <w:rFonts w:ascii="Calibri" w:eastAsia="Calibri" w:hAnsi="Calibri" w:cs="Times New Roman"/>
                <w:sz w:val="22"/>
                <w:szCs w:val="22"/>
              </w:rPr>
            </w:pPr>
          </w:p>
          <w:p w:rsidR="00224FDF" w:rsidRDefault="00224FDF" w:rsidP="00E4062C">
            <w:pPr>
              <w:rPr>
                <w:rFonts w:ascii="Calibri" w:eastAsia="Calibri" w:hAnsi="Calibri" w:cs="Times New Roman"/>
                <w:sz w:val="22"/>
                <w:szCs w:val="22"/>
              </w:rPr>
            </w:pPr>
          </w:p>
          <w:p w:rsidR="00507F15" w:rsidRPr="00D245E0" w:rsidRDefault="00507F15" w:rsidP="00E4062C">
            <w:pPr>
              <w:rPr>
                <w:rFonts w:ascii="Calibri" w:eastAsia="Calibri" w:hAnsi="Calibri" w:cs="Times New Roman"/>
                <w:sz w:val="22"/>
                <w:szCs w:val="22"/>
              </w:rPr>
            </w:pPr>
          </w:p>
        </w:tc>
      </w:tr>
      <w:tr w:rsidR="000C3DDE" w:rsidTr="00224FDF">
        <w:tc>
          <w:tcPr>
            <w:tcW w:w="2583" w:type="dxa"/>
            <w:shd w:val="clear" w:color="auto" w:fill="auto"/>
          </w:tcPr>
          <w:p w:rsidR="000C3DDE" w:rsidRDefault="000C3DDE" w:rsidP="00E4062C">
            <w:pPr>
              <w:pStyle w:val="ListParagraph"/>
              <w:autoSpaceDE w:val="0"/>
              <w:autoSpaceDN w:val="0"/>
              <w:adjustRightInd w:val="0"/>
              <w:ind w:left="0"/>
              <w:jc w:val="center"/>
              <w:rPr>
                <w:rFonts w:ascii="Calibri" w:eastAsia="Calibri" w:hAnsi="Calibri" w:cs="Calibri"/>
                <w:color w:val="000000"/>
                <w:sz w:val="22"/>
                <w:szCs w:val="22"/>
              </w:rPr>
            </w:pPr>
            <w:r>
              <w:rPr>
                <w:rFonts w:cs="Calibri"/>
                <w:noProof/>
                <w:color w:val="000000"/>
                <w:lang w:eastAsia="en-GB"/>
              </w:rPr>
              <w:drawing>
                <wp:inline distT="0" distB="0" distL="0" distR="0" wp14:anchorId="07E56CCA" wp14:editId="078B29FF">
                  <wp:extent cx="1485900" cy="451716"/>
                  <wp:effectExtent l="0" t="0" r="0" b="5715"/>
                  <wp:docPr id="119" name="Picture 119" descr="Description: M:\Planning\plan_policy\Annual Monitoring Report\TrafficLightA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Planning\plan_policy\Annual Monitoring Report\TrafficLightAmb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451716"/>
                          </a:xfrm>
                          <a:prstGeom prst="rect">
                            <a:avLst/>
                          </a:prstGeom>
                          <a:noFill/>
                          <a:ln>
                            <a:noFill/>
                          </a:ln>
                        </pic:spPr>
                      </pic:pic>
                    </a:graphicData>
                  </a:graphic>
                </wp:inline>
              </w:drawing>
            </w:r>
          </w:p>
        </w:tc>
        <w:tc>
          <w:tcPr>
            <w:tcW w:w="6237" w:type="dxa"/>
            <w:shd w:val="clear" w:color="auto" w:fill="auto"/>
          </w:tcPr>
          <w:p w:rsidR="000C3DDE" w:rsidRDefault="000C3DDE" w:rsidP="00E4062C">
            <w:pPr>
              <w:pStyle w:val="ListParagraph"/>
              <w:autoSpaceDE w:val="0"/>
              <w:autoSpaceDN w:val="0"/>
              <w:adjustRightInd w:val="0"/>
              <w:ind w:left="0"/>
              <w:jc w:val="both"/>
              <w:rPr>
                <w:rFonts w:ascii="Calibri" w:eastAsia="Calibri" w:hAnsi="Calibri" w:cs="Calibri"/>
                <w:color w:val="000000"/>
                <w:sz w:val="22"/>
                <w:szCs w:val="22"/>
              </w:rPr>
            </w:pPr>
            <w:r w:rsidRPr="007B6707">
              <w:rPr>
                <w:rFonts w:ascii="Calibri" w:eastAsia="Calibri" w:hAnsi="Calibri" w:cs="Calibri"/>
                <w:b/>
                <w:color w:val="984806" w:themeColor="accent6" w:themeShade="80"/>
                <w:szCs w:val="22"/>
              </w:rPr>
              <w:t xml:space="preserve">Explanation: </w:t>
            </w:r>
            <w:r w:rsidR="00224FDF">
              <w:rPr>
                <w:rFonts w:ascii="Calibri" w:eastAsia="Calibri" w:hAnsi="Calibri" w:cs="Calibri"/>
                <w:color w:val="000000"/>
                <w:sz w:val="22"/>
                <w:szCs w:val="22"/>
              </w:rPr>
              <w:t>Limited</w:t>
            </w:r>
            <w:r w:rsidR="00507F15">
              <w:rPr>
                <w:rFonts w:ascii="Calibri" w:eastAsia="Calibri" w:hAnsi="Calibri" w:cs="Calibri"/>
                <w:color w:val="000000"/>
                <w:sz w:val="22"/>
                <w:szCs w:val="22"/>
              </w:rPr>
              <w:t xml:space="preserve"> </w:t>
            </w:r>
            <w:r w:rsidR="00224FDF">
              <w:rPr>
                <w:rFonts w:ascii="Calibri" w:eastAsia="Calibri" w:hAnsi="Calibri" w:cs="Calibri"/>
                <w:color w:val="000000"/>
                <w:sz w:val="22"/>
                <w:szCs w:val="22"/>
              </w:rPr>
              <w:t xml:space="preserve">progression towards </w:t>
            </w:r>
            <w:r w:rsidR="00FD1376">
              <w:rPr>
                <w:rFonts w:ascii="Calibri" w:eastAsia="Calibri" w:hAnsi="Calibri" w:cs="Calibri"/>
                <w:color w:val="000000"/>
                <w:sz w:val="22"/>
                <w:szCs w:val="22"/>
              </w:rPr>
              <w:t xml:space="preserve">meeting </w:t>
            </w:r>
            <w:r w:rsidR="00224FDF">
              <w:rPr>
                <w:rFonts w:ascii="Calibri" w:eastAsia="Calibri" w:hAnsi="Calibri" w:cs="Calibri"/>
                <w:color w:val="000000"/>
                <w:sz w:val="22"/>
                <w:szCs w:val="22"/>
              </w:rPr>
              <w:t xml:space="preserve">target </w:t>
            </w:r>
            <w:r>
              <w:rPr>
                <w:rFonts w:ascii="Calibri" w:eastAsia="Calibri" w:hAnsi="Calibri" w:cs="Calibri"/>
                <w:color w:val="000000"/>
                <w:sz w:val="22"/>
                <w:szCs w:val="22"/>
              </w:rPr>
              <w:t>o</w:t>
            </w:r>
            <w:r w:rsidRPr="00D245E0">
              <w:rPr>
                <w:rFonts w:ascii="Calibri" w:eastAsia="Calibri" w:hAnsi="Calibri" w:cs="Calibri"/>
                <w:color w:val="000000"/>
                <w:sz w:val="22"/>
                <w:szCs w:val="22"/>
              </w:rPr>
              <w:t>r</w:t>
            </w:r>
            <w:r>
              <w:rPr>
                <w:rFonts w:ascii="Calibri" w:eastAsia="Calibri" w:hAnsi="Calibri" w:cs="Calibri"/>
                <w:color w:val="000000"/>
                <w:sz w:val="22"/>
                <w:szCs w:val="22"/>
              </w:rPr>
              <w:t xml:space="preserve"> where </w:t>
            </w:r>
            <w:r w:rsidRPr="00D245E0">
              <w:rPr>
                <w:rFonts w:ascii="Calibri" w:eastAsia="Calibri" w:hAnsi="Calibri" w:cs="Calibri"/>
                <w:color w:val="000000"/>
                <w:sz w:val="22"/>
                <w:szCs w:val="22"/>
              </w:rPr>
              <w:t xml:space="preserve">there </w:t>
            </w:r>
            <w:r w:rsidR="00507F15">
              <w:rPr>
                <w:rFonts w:ascii="Calibri" w:eastAsia="Calibri" w:hAnsi="Calibri" w:cs="Calibri"/>
                <w:color w:val="000000"/>
                <w:sz w:val="22"/>
                <w:szCs w:val="22"/>
              </w:rPr>
              <w:t>is in</w:t>
            </w:r>
            <w:r w:rsidRPr="00D245E0">
              <w:rPr>
                <w:rFonts w:ascii="Calibri" w:eastAsia="Calibri" w:hAnsi="Calibri" w:cs="Calibri"/>
                <w:color w:val="000000"/>
                <w:sz w:val="22"/>
                <w:szCs w:val="22"/>
              </w:rPr>
              <w:t>sufficient information to make an assessment</w:t>
            </w:r>
            <w:r w:rsidR="00507F15">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0C3DDE" w:rsidRDefault="000C3DDE" w:rsidP="00E4062C">
            <w:pPr>
              <w:pStyle w:val="ListParagraph"/>
              <w:autoSpaceDE w:val="0"/>
              <w:autoSpaceDN w:val="0"/>
              <w:adjustRightInd w:val="0"/>
              <w:ind w:left="0"/>
              <w:jc w:val="both"/>
              <w:rPr>
                <w:rFonts w:ascii="Calibri" w:eastAsia="Calibri" w:hAnsi="Calibri" w:cs="Calibri"/>
                <w:color w:val="000000"/>
                <w:sz w:val="22"/>
                <w:szCs w:val="22"/>
              </w:rPr>
            </w:pPr>
          </w:p>
          <w:p w:rsidR="000C3DDE" w:rsidRDefault="000C3DDE" w:rsidP="00224FDF">
            <w:pPr>
              <w:pStyle w:val="ListParagraph"/>
              <w:autoSpaceDE w:val="0"/>
              <w:autoSpaceDN w:val="0"/>
              <w:adjustRightInd w:val="0"/>
              <w:ind w:left="0"/>
              <w:rPr>
                <w:rFonts w:ascii="Calibri" w:eastAsia="Calibri" w:hAnsi="Calibri" w:cs="Calibri"/>
                <w:color w:val="000000"/>
                <w:sz w:val="22"/>
                <w:szCs w:val="22"/>
              </w:rPr>
            </w:pPr>
            <w:r w:rsidRPr="007B6707">
              <w:rPr>
                <w:rFonts w:ascii="Calibri" w:eastAsia="Calibri" w:hAnsi="Calibri" w:cs="Calibri"/>
                <w:b/>
                <w:color w:val="984806" w:themeColor="accent6" w:themeShade="80"/>
                <w:szCs w:val="22"/>
              </w:rPr>
              <w:t>Action:</w:t>
            </w:r>
            <w:r>
              <w:rPr>
                <w:rFonts w:ascii="Calibri" w:eastAsia="Calibri" w:hAnsi="Calibri" w:cs="Calibri"/>
                <w:color w:val="000000"/>
                <w:sz w:val="22"/>
                <w:szCs w:val="22"/>
              </w:rPr>
              <w:t xml:space="preserve"> </w:t>
            </w:r>
            <w:r w:rsidRPr="00D245E0">
              <w:rPr>
                <w:rFonts w:ascii="Calibri" w:eastAsia="Calibri" w:hAnsi="Calibri" w:cs="Calibri"/>
                <w:color w:val="000000"/>
                <w:sz w:val="22"/>
                <w:szCs w:val="22"/>
              </w:rPr>
              <w:t xml:space="preserve">The policy </w:t>
            </w:r>
            <w:r w:rsidR="00224FDF">
              <w:rPr>
                <w:rFonts w:ascii="Calibri" w:eastAsia="Calibri" w:hAnsi="Calibri" w:cs="Calibri"/>
                <w:color w:val="000000"/>
                <w:sz w:val="22"/>
                <w:szCs w:val="22"/>
              </w:rPr>
              <w:t>requires</w:t>
            </w:r>
            <w:r w:rsidR="00A5317C">
              <w:rPr>
                <w:rFonts w:ascii="Calibri" w:eastAsia="Calibri" w:hAnsi="Calibri" w:cs="Calibri"/>
                <w:color w:val="000000"/>
                <w:sz w:val="22"/>
                <w:szCs w:val="22"/>
              </w:rPr>
              <w:t xml:space="preserve"> close attention during</w:t>
            </w:r>
            <w:r w:rsidRPr="00D245E0">
              <w:rPr>
                <w:rFonts w:ascii="Calibri" w:eastAsia="Calibri" w:hAnsi="Calibri" w:cs="Calibri"/>
                <w:color w:val="000000"/>
                <w:sz w:val="22"/>
                <w:szCs w:val="22"/>
              </w:rPr>
              <w:t xml:space="preserve"> the following monitoring year</w:t>
            </w:r>
            <w:r>
              <w:rPr>
                <w:rFonts w:ascii="Calibri" w:eastAsia="Calibri" w:hAnsi="Calibri" w:cs="Calibri"/>
                <w:color w:val="000000"/>
                <w:sz w:val="22"/>
                <w:szCs w:val="22"/>
              </w:rPr>
              <w:t>.</w:t>
            </w:r>
          </w:p>
          <w:p w:rsidR="000C3DDE" w:rsidRDefault="000C3DDE" w:rsidP="00E4062C">
            <w:pPr>
              <w:pStyle w:val="ListParagraph"/>
              <w:autoSpaceDE w:val="0"/>
              <w:autoSpaceDN w:val="0"/>
              <w:adjustRightInd w:val="0"/>
              <w:ind w:left="0"/>
              <w:jc w:val="both"/>
              <w:rPr>
                <w:rFonts w:ascii="Calibri" w:eastAsia="Calibri" w:hAnsi="Calibri" w:cs="Calibri"/>
                <w:color w:val="000000"/>
                <w:sz w:val="12"/>
                <w:szCs w:val="12"/>
              </w:rPr>
            </w:pPr>
          </w:p>
          <w:p w:rsidR="00224FDF" w:rsidRDefault="00224FDF" w:rsidP="00E4062C">
            <w:pPr>
              <w:pStyle w:val="ListParagraph"/>
              <w:autoSpaceDE w:val="0"/>
              <w:autoSpaceDN w:val="0"/>
              <w:adjustRightInd w:val="0"/>
              <w:ind w:left="0"/>
              <w:jc w:val="both"/>
              <w:rPr>
                <w:rFonts w:ascii="Calibri" w:eastAsia="Calibri" w:hAnsi="Calibri" w:cs="Calibri"/>
                <w:color w:val="000000"/>
                <w:sz w:val="12"/>
                <w:szCs w:val="12"/>
              </w:rPr>
            </w:pPr>
          </w:p>
          <w:p w:rsidR="00507F15" w:rsidRDefault="00507F15" w:rsidP="00E4062C">
            <w:pPr>
              <w:pStyle w:val="ListParagraph"/>
              <w:autoSpaceDE w:val="0"/>
              <w:autoSpaceDN w:val="0"/>
              <w:adjustRightInd w:val="0"/>
              <w:ind w:left="0"/>
              <w:jc w:val="both"/>
              <w:rPr>
                <w:rFonts w:ascii="Calibri" w:eastAsia="Calibri" w:hAnsi="Calibri" w:cs="Calibri"/>
                <w:color w:val="000000"/>
                <w:sz w:val="12"/>
                <w:szCs w:val="12"/>
              </w:rPr>
            </w:pPr>
          </w:p>
          <w:p w:rsidR="00507F15" w:rsidRDefault="00507F15" w:rsidP="00E4062C">
            <w:pPr>
              <w:pStyle w:val="ListParagraph"/>
              <w:autoSpaceDE w:val="0"/>
              <w:autoSpaceDN w:val="0"/>
              <w:adjustRightInd w:val="0"/>
              <w:ind w:left="0"/>
              <w:jc w:val="both"/>
              <w:rPr>
                <w:rFonts w:ascii="Calibri" w:eastAsia="Calibri" w:hAnsi="Calibri" w:cs="Calibri"/>
                <w:color w:val="000000"/>
                <w:sz w:val="12"/>
                <w:szCs w:val="12"/>
              </w:rPr>
            </w:pPr>
          </w:p>
          <w:p w:rsidR="00224FDF" w:rsidRPr="006678E8" w:rsidRDefault="00224FDF" w:rsidP="00E4062C">
            <w:pPr>
              <w:pStyle w:val="ListParagraph"/>
              <w:autoSpaceDE w:val="0"/>
              <w:autoSpaceDN w:val="0"/>
              <w:adjustRightInd w:val="0"/>
              <w:ind w:left="0"/>
              <w:jc w:val="both"/>
              <w:rPr>
                <w:rFonts w:ascii="Calibri" w:eastAsia="Calibri" w:hAnsi="Calibri" w:cs="Calibri"/>
                <w:color w:val="000000"/>
                <w:sz w:val="12"/>
                <w:szCs w:val="12"/>
              </w:rPr>
            </w:pPr>
          </w:p>
        </w:tc>
      </w:tr>
      <w:tr w:rsidR="000C3DDE" w:rsidTr="00224FDF">
        <w:trPr>
          <w:trHeight w:val="828"/>
        </w:trPr>
        <w:tc>
          <w:tcPr>
            <w:tcW w:w="2583" w:type="dxa"/>
            <w:shd w:val="clear" w:color="auto" w:fill="auto"/>
          </w:tcPr>
          <w:p w:rsidR="000C3DDE" w:rsidRDefault="000C3DDE" w:rsidP="00E4062C">
            <w:pPr>
              <w:pStyle w:val="ListParagraph"/>
              <w:autoSpaceDE w:val="0"/>
              <w:autoSpaceDN w:val="0"/>
              <w:adjustRightInd w:val="0"/>
              <w:ind w:left="0"/>
              <w:jc w:val="center"/>
              <w:rPr>
                <w:rFonts w:ascii="Calibri" w:eastAsia="Calibri" w:hAnsi="Calibri" w:cs="Calibri"/>
                <w:color w:val="000000"/>
                <w:sz w:val="22"/>
                <w:szCs w:val="22"/>
              </w:rPr>
            </w:pPr>
            <w:r>
              <w:rPr>
                <w:rFonts w:cs="Calibri"/>
                <w:noProof/>
                <w:color w:val="000000"/>
                <w:lang w:eastAsia="en-GB"/>
              </w:rPr>
              <w:drawing>
                <wp:inline distT="0" distB="0" distL="0" distR="0" wp14:anchorId="00D6E05A" wp14:editId="4E697F76">
                  <wp:extent cx="1495553" cy="466725"/>
                  <wp:effectExtent l="0" t="0" r="9525" b="0"/>
                  <wp:docPr id="118" name="Picture 118" descr="Description: M:\Planning\plan_policy\Annual Monitoring Report\TrafficLigh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Planning\plan_policy\Annual Monitoring Report\TrafficLightRe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553" cy="466725"/>
                          </a:xfrm>
                          <a:prstGeom prst="rect">
                            <a:avLst/>
                          </a:prstGeom>
                          <a:noFill/>
                          <a:ln>
                            <a:noFill/>
                          </a:ln>
                        </pic:spPr>
                      </pic:pic>
                    </a:graphicData>
                  </a:graphic>
                </wp:inline>
              </w:drawing>
            </w:r>
          </w:p>
        </w:tc>
        <w:tc>
          <w:tcPr>
            <w:tcW w:w="6237" w:type="dxa"/>
            <w:shd w:val="clear" w:color="auto" w:fill="auto"/>
          </w:tcPr>
          <w:p w:rsidR="000C3DDE" w:rsidRPr="00D245E0" w:rsidRDefault="00224FDF" w:rsidP="00E4062C">
            <w:pPr>
              <w:autoSpaceDE w:val="0"/>
              <w:autoSpaceDN w:val="0"/>
              <w:adjustRightInd w:val="0"/>
              <w:jc w:val="both"/>
              <w:rPr>
                <w:rFonts w:ascii="Calibri" w:eastAsia="Calibri" w:hAnsi="Calibri" w:cs="Calibri"/>
                <w:color w:val="000000"/>
                <w:sz w:val="22"/>
                <w:szCs w:val="22"/>
              </w:rPr>
            </w:pPr>
            <w:r w:rsidRPr="007B6707">
              <w:rPr>
                <w:rFonts w:ascii="Calibri" w:eastAsia="Calibri" w:hAnsi="Calibri" w:cs="Calibri"/>
                <w:b/>
                <w:color w:val="FF3300"/>
                <w:szCs w:val="22"/>
              </w:rPr>
              <w:t>Explanation</w:t>
            </w:r>
            <w:r w:rsidR="000C3DDE" w:rsidRPr="007B6707">
              <w:rPr>
                <w:rFonts w:ascii="Calibri" w:eastAsia="Calibri" w:hAnsi="Calibri" w:cs="Calibri"/>
                <w:b/>
                <w:color w:val="FF3300"/>
                <w:szCs w:val="22"/>
              </w:rPr>
              <w:t>:</w:t>
            </w:r>
            <w:r w:rsidR="000C3DDE" w:rsidRPr="00650451">
              <w:rPr>
                <w:rFonts w:ascii="Calibri" w:eastAsia="Calibri" w:hAnsi="Calibri" w:cs="Calibri"/>
                <w:b/>
                <w:color w:val="FF3300"/>
                <w:sz w:val="22"/>
                <w:szCs w:val="22"/>
              </w:rPr>
              <w:t xml:space="preserve"> </w:t>
            </w:r>
            <w:r w:rsidR="000C3DDE" w:rsidRPr="00650451">
              <w:rPr>
                <w:rFonts w:ascii="Calibri" w:eastAsia="Calibri" w:hAnsi="Calibri" w:cs="Calibri"/>
                <w:color w:val="FF3300"/>
                <w:sz w:val="22"/>
                <w:szCs w:val="22"/>
              </w:rPr>
              <w:t xml:space="preserve"> </w:t>
            </w:r>
            <w:r w:rsidR="00FD1376">
              <w:rPr>
                <w:rFonts w:ascii="Calibri" w:eastAsia="Calibri" w:hAnsi="Calibri" w:cs="Calibri"/>
                <w:color w:val="000000"/>
                <w:sz w:val="22"/>
                <w:szCs w:val="22"/>
              </w:rPr>
              <w:t>D</w:t>
            </w:r>
            <w:r w:rsidR="000C3DDE" w:rsidRPr="00D245E0">
              <w:rPr>
                <w:rFonts w:ascii="Calibri" w:eastAsia="Calibri" w:hAnsi="Calibri" w:cs="Calibri"/>
                <w:color w:val="000000"/>
                <w:sz w:val="22"/>
                <w:szCs w:val="22"/>
              </w:rPr>
              <w:t xml:space="preserve">ata indicates under-performance against targets and objectives. </w:t>
            </w:r>
          </w:p>
          <w:p w:rsidR="000C3DDE" w:rsidRDefault="000C3DDE" w:rsidP="00E4062C">
            <w:pPr>
              <w:pStyle w:val="ListParagraph"/>
              <w:autoSpaceDE w:val="0"/>
              <w:autoSpaceDN w:val="0"/>
              <w:adjustRightInd w:val="0"/>
              <w:ind w:left="0"/>
              <w:jc w:val="both"/>
              <w:rPr>
                <w:rFonts w:ascii="Calibri" w:eastAsia="Calibri" w:hAnsi="Calibri" w:cs="Calibri"/>
                <w:color w:val="000000"/>
                <w:sz w:val="22"/>
                <w:szCs w:val="22"/>
              </w:rPr>
            </w:pPr>
          </w:p>
          <w:p w:rsidR="00224FDF" w:rsidRDefault="00224FDF" w:rsidP="00224FDF">
            <w:pPr>
              <w:pStyle w:val="ListParagraph"/>
              <w:autoSpaceDE w:val="0"/>
              <w:autoSpaceDN w:val="0"/>
              <w:adjustRightInd w:val="0"/>
              <w:ind w:left="0"/>
              <w:jc w:val="both"/>
              <w:rPr>
                <w:rFonts w:ascii="Calibri" w:eastAsia="Calibri" w:hAnsi="Calibri" w:cs="Calibri"/>
                <w:color w:val="000000"/>
                <w:sz w:val="22"/>
                <w:szCs w:val="22"/>
              </w:rPr>
            </w:pPr>
            <w:r w:rsidRPr="007B6707">
              <w:rPr>
                <w:rFonts w:ascii="Calibri" w:eastAsia="Calibri" w:hAnsi="Calibri" w:cs="Calibri"/>
                <w:b/>
                <w:color w:val="FF3300"/>
                <w:szCs w:val="22"/>
              </w:rPr>
              <w:t>Action:</w:t>
            </w:r>
            <w:r w:rsidRPr="00650451">
              <w:rPr>
                <w:rFonts w:ascii="Calibri" w:eastAsia="Calibri" w:hAnsi="Calibri" w:cs="Calibri"/>
                <w:b/>
                <w:color w:val="FF3300"/>
                <w:sz w:val="22"/>
                <w:szCs w:val="22"/>
              </w:rPr>
              <w:t xml:space="preserve"> </w:t>
            </w:r>
            <w:r w:rsidRPr="00650451">
              <w:rPr>
                <w:rFonts w:ascii="Calibri" w:eastAsia="Calibri" w:hAnsi="Calibri" w:cs="Calibri"/>
                <w:color w:val="FF3300"/>
                <w:sz w:val="22"/>
                <w:szCs w:val="22"/>
              </w:rPr>
              <w:t xml:space="preserve"> </w:t>
            </w:r>
            <w:r>
              <w:rPr>
                <w:rFonts w:ascii="Calibri" w:eastAsia="Calibri" w:hAnsi="Calibri" w:cs="Calibri"/>
                <w:color w:val="000000"/>
                <w:sz w:val="22"/>
                <w:szCs w:val="22"/>
              </w:rPr>
              <w:t xml:space="preserve">Monitor the policy closely during the following monitoring year. Consecutive red scores may indicate that policies require </w:t>
            </w:r>
            <w:r w:rsidRPr="00224FDF">
              <w:rPr>
                <w:rFonts w:ascii="Calibri" w:eastAsia="Calibri" w:hAnsi="Calibri" w:cs="Calibri"/>
                <w:color w:val="000000"/>
                <w:sz w:val="22"/>
                <w:szCs w:val="22"/>
              </w:rPr>
              <w:t>adjusting, or replacing, because t</w:t>
            </w:r>
            <w:r>
              <w:rPr>
                <w:rFonts w:ascii="Calibri" w:eastAsia="Calibri" w:hAnsi="Calibri" w:cs="Calibri"/>
                <w:color w:val="000000"/>
                <w:sz w:val="22"/>
                <w:szCs w:val="22"/>
              </w:rPr>
              <w:t>hey are not working as intended</w:t>
            </w:r>
            <w:r w:rsidR="00FD1376">
              <w:rPr>
                <w:rFonts w:ascii="Calibri" w:eastAsia="Calibri" w:hAnsi="Calibri" w:cs="Calibri"/>
                <w:color w:val="000000"/>
                <w:sz w:val="22"/>
                <w:szCs w:val="22"/>
              </w:rPr>
              <w:t xml:space="preserve"> or are no longer relevant</w:t>
            </w:r>
            <w:r>
              <w:rPr>
                <w:rFonts w:ascii="Calibri" w:eastAsia="Calibri" w:hAnsi="Calibri" w:cs="Calibri"/>
                <w:color w:val="000000"/>
                <w:sz w:val="22"/>
                <w:szCs w:val="22"/>
              </w:rPr>
              <w:t>.</w:t>
            </w:r>
          </w:p>
        </w:tc>
      </w:tr>
    </w:tbl>
    <w:p w:rsidR="000C3DDE" w:rsidRDefault="000C3DDE" w:rsidP="000C3DDE">
      <w:pPr>
        <w:pStyle w:val="ListParagraph"/>
        <w:autoSpaceDE w:val="0"/>
        <w:autoSpaceDN w:val="0"/>
        <w:adjustRightInd w:val="0"/>
        <w:spacing w:after="200"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0C3DDE" w:rsidRDefault="000C3DDE" w:rsidP="00A73CF4">
      <w:pPr>
        <w:rPr>
          <w:rFonts w:ascii="Calibri" w:eastAsia="Calibri" w:hAnsi="Calibri" w:cs="Calibri"/>
          <w:b/>
          <w:noProof/>
          <w:color w:val="000000"/>
          <w:sz w:val="32"/>
          <w:szCs w:val="22"/>
          <w:lang w:eastAsia="en-GB"/>
        </w:rPr>
      </w:pPr>
    </w:p>
    <w:p w:rsidR="00224FDF" w:rsidRDefault="00224FDF" w:rsidP="00A73CF4">
      <w:pPr>
        <w:rPr>
          <w:rFonts w:ascii="Calibri" w:eastAsia="Calibri" w:hAnsi="Calibri" w:cs="Calibri"/>
          <w:b/>
          <w:noProof/>
          <w:color w:val="000000"/>
          <w:sz w:val="32"/>
          <w:szCs w:val="22"/>
          <w:lang w:eastAsia="en-GB"/>
        </w:rPr>
      </w:pPr>
    </w:p>
    <w:p w:rsidR="00224FDF" w:rsidRDefault="00224FDF" w:rsidP="00A73CF4">
      <w:pPr>
        <w:rPr>
          <w:rFonts w:ascii="Calibri" w:eastAsia="Calibri" w:hAnsi="Calibri" w:cs="Calibri"/>
          <w:b/>
          <w:noProof/>
          <w:color w:val="000000"/>
          <w:sz w:val="32"/>
          <w:szCs w:val="22"/>
          <w:lang w:eastAsia="en-GB"/>
        </w:rPr>
      </w:pPr>
    </w:p>
    <w:p w:rsidR="00507F15" w:rsidRDefault="00507F15" w:rsidP="00A73CF4">
      <w:pPr>
        <w:rPr>
          <w:rFonts w:ascii="Calibri" w:eastAsia="Calibri" w:hAnsi="Calibri" w:cs="Calibri"/>
          <w:b/>
          <w:noProof/>
          <w:color w:val="000000"/>
          <w:sz w:val="32"/>
          <w:szCs w:val="22"/>
          <w:lang w:eastAsia="en-GB"/>
        </w:rPr>
      </w:pPr>
    </w:p>
    <w:p w:rsidR="00FD1376" w:rsidRDefault="00FD1376" w:rsidP="00A73CF4">
      <w:pPr>
        <w:rPr>
          <w:rFonts w:ascii="Calibri" w:eastAsia="Calibri" w:hAnsi="Calibri" w:cs="Calibri"/>
          <w:b/>
          <w:noProof/>
          <w:color w:val="000000"/>
          <w:sz w:val="32"/>
          <w:szCs w:val="22"/>
          <w:lang w:eastAsia="en-GB"/>
        </w:rPr>
      </w:pPr>
    </w:p>
    <w:p w:rsidR="00A73CF4" w:rsidRPr="005F0AD3" w:rsidRDefault="00280EB5" w:rsidP="00A73CF4">
      <w:pPr>
        <w:rPr>
          <w:rFonts w:ascii="Calibri" w:eastAsia="Calibri" w:hAnsi="Calibri" w:cs="Calibri"/>
          <w:b/>
          <w:noProof/>
          <w:color w:val="000000"/>
          <w:sz w:val="32"/>
          <w:szCs w:val="22"/>
          <w:lang w:eastAsia="en-GB"/>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42208" behindDoc="0" locked="0" layoutInCell="1" allowOverlap="1" wp14:anchorId="404BB67F" wp14:editId="33A50945">
                <wp:simplePos x="0" y="0"/>
                <wp:positionH relativeFrom="column">
                  <wp:posOffset>4196715</wp:posOffset>
                </wp:positionH>
                <wp:positionV relativeFrom="paragraph">
                  <wp:posOffset>-554990</wp:posOffset>
                </wp:positionV>
                <wp:extent cx="1722755" cy="3524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722755" cy="352425"/>
                        </a:xfrm>
                        <a:prstGeom prst="rect">
                          <a:avLst/>
                        </a:prstGeom>
                        <a:solidFill>
                          <a:sysClr val="window" lastClr="FFFFFF"/>
                        </a:solidFill>
                        <a:ln w="6350">
                          <a:noFill/>
                        </a:ln>
                        <a:effectLst/>
                      </wps:spPr>
                      <wps:txbx>
                        <w:txbxContent>
                          <w:p w:rsidR="000D3CFF" w:rsidRPr="00280EB5" w:rsidRDefault="000D3CFF" w:rsidP="00280EB5">
                            <w:pPr>
                              <w:jc w:val="right"/>
                              <w:rPr>
                                <w:b/>
                                <w:color w:val="595959" w:themeColor="text1" w:themeTint="A6"/>
                              </w:rPr>
                            </w:pPr>
                            <w:r>
                              <w:rPr>
                                <w:b/>
                                <w:color w:val="595959" w:themeColor="text1" w:themeTint="A6"/>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margin-left:330.45pt;margin-top:-43.7pt;width:135.65pt;height:27.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" fillcolor="window" stroked="f" strokeweight=".5pt">
                <v:textbox>
                  <w:txbxContent>
                    <w:p w:rsidR="000D3CFF" w:rsidRPr="00280EB5" w:rsidRDefault="000D3CFF" w:rsidP="00280EB5">
                      <w:pPr>
                        <w:jc w:val="right"/>
                        <w:rPr>
                          <w:b/>
                          <w:color w:val="595959" w:themeColor="text1" w:themeTint="A6"/>
                        </w:rPr>
                      </w:pPr>
                      <w:r>
                        <w:rPr>
                          <w:b/>
                          <w:color w:val="595959" w:themeColor="text1" w:themeTint="A6"/>
                        </w:rPr>
                        <w:t>Summary</w:t>
                      </w:r>
                    </w:p>
                  </w:txbxContent>
                </v:textbox>
              </v:shape>
            </w:pict>
          </mc:Fallback>
        </mc:AlternateContent>
      </w:r>
      <w:r w:rsidR="00A73CF4">
        <w:rPr>
          <w:rFonts w:ascii="Calibri" w:eastAsia="Calibri" w:hAnsi="Calibri" w:cs="Calibri"/>
          <w:b/>
          <w:noProof/>
          <w:color w:val="000000"/>
          <w:sz w:val="32"/>
          <w:szCs w:val="22"/>
          <w:lang w:eastAsia="en-GB"/>
        </w:rPr>
        <w:t>Summary of Findings</w:t>
      </w:r>
    </w:p>
    <w:p w:rsidR="00A73CF4" w:rsidRPr="005F0AD3" w:rsidRDefault="00A73CF4" w:rsidP="00A31762">
      <w:pPr>
        <w:rPr>
          <w:rFonts w:ascii="Calibri" w:eastAsia="Calibri" w:hAnsi="Calibri" w:cs="Calibri"/>
          <w:b/>
          <w:color w:val="000000"/>
          <w:sz w:val="22"/>
          <w:szCs w:val="22"/>
        </w:rPr>
      </w:pPr>
    </w:p>
    <w:p w:rsidR="00F1347D" w:rsidRPr="00F1347D" w:rsidRDefault="00B42F30"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Overall performance </w:t>
      </w:r>
      <w:r w:rsidR="00670AA8">
        <w:rPr>
          <w:rFonts w:ascii="Calibri" w:eastAsia="Calibri" w:hAnsi="Calibri" w:cs="Calibri"/>
          <w:color w:val="000000"/>
          <w:sz w:val="22"/>
          <w:szCs w:val="22"/>
        </w:rPr>
        <w:t>against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099"/>
        <w:gridCol w:w="2100"/>
        <w:gridCol w:w="2100"/>
      </w:tblGrid>
      <w:tr w:rsidR="00B42F30" w:rsidTr="00E62510">
        <w:tc>
          <w:tcPr>
            <w:tcW w:w="2943" w:type="dxa"/>
            <w:tcBorders>
              <w:bottom w:val="single" w:sz="4" w:space="0" w:color="auto"/>
            </w:tcBorders>
          </w:tcPr>
          <w:p w:rsidR="00B42F30" w:rsidRDefault="00B42F30" w:rsidP="00B42F30">
            <w:pPr>
              <w:autoSpaceDE w:val="0"/>
              <w:autoSpaceDN w:val="0"/>
              <w:adjustRightInd w:val="0"/>
              <w:jc w:val="both"/>
              <w:rPr>
                <w:rFonts w:ascii="Calibri" w:eastAsia="Calibri" w:hAnsi="Calibri" w:cs="Calibri"/>
                <w:color w:val="000000"/>
                <w:sz w:val="22"/>
                <w:szCs w:val="22"/>
              </w:rPr>
            </w:pPr>
          </w:p>
        </w:tc>
        <w:tc>
          <w:tcPr>
            <w:tcW w:w="2099" w:type="dxa"/>
            <w:tcBorders>
              <w:bottom w:val="single" w:sz="4" w:space="0" w:color="auto"/>
            </w:tcBorders>
          </w:tcPr>
          <w:p w:rsidR="00B42F30" w:rsidRDefault="00B42F30" w:rsidP="00B42F30">
            <w:pPr>
              <w:autoSpaceDE w:val="0"/>
              <w:autoSpaceDN w:val="0"/>
              <w:adjustRightInd w:val="0"/>
              <w:jc w:val="center"/>
              <w:rPr>
                <w:rFonts w:ascii="Calibri" w:eastAsia="Calibri" w:hAnsi="Calibri" w:cs="Calibri"/>
                <w:color w:val="000000"/>
                <w:sz w:val="22"/>
                <w:szCs w:val="22"/>
              </w:rPr>
            </w:pPr>
            <w:r>
              <w:rPr>
                <w:b/>
                <w:noProof/>
                <w:sz w:val="32"/>
                <w:szCs w:val="32"/>
                <w:lang w:eastAsia="en-GB"/>
              </w:rPr>
              <w:drawing>
                <wp:inline distT="0" distB="0" distL="0" distR="0" wp14:anchorId="5D615B74" wp14:editId="7AFE649A">
                  <wp:extent cx="1083945" cy="326390"/>
                  <wp:effectExtent l="0" t="0" r="1905" b="0"/>
                  <wp:docPr id="13" name="Picture 1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c>
          <w:tcPr>
            <w:tcW w:w="2100" w:type="dxa"/>
            <w:tcBorders>
              <w:bottom w:val="single" w:sz="4" w:space="0" w:color="auto"/>
            </w:tcBorders>
          </w:tcPr>
          <w:p w:rsidR="00B42F30" w:rsidRDefault="00B42F30" w:rsidP="00B42F30">
            <w:pPr>
              <w:autoSpaceDE w:val="0"/>
              <w:autoSpaceDN w:val="0"/>
              <w:adjustRightInd w:val="0"/>
              <w:jc w:val="center"/>
              <w:rPr>
                <w:rFonts w:ascii="Calibri" w:eastAsia="Calibri" w:hAnsi="Calibri" w:cs="Calibri"/>
                <w:color w:val="000000"/>
                <w:sz w:val="22"/>
                <w:szCs w:val="22"/>
              </w:rPr>
            </w:pPr>
            <w:r>
              <w:rPr>
                <w:b/>
                <w:noProof/>
                <w:sz w:val="32"/>
                <w:szCs w:val="32"/>
                <w:lang w:eastAsia="en-GB"/>
              </w:rPr>
              <w:drawing>
                <wp:inline distT="0" distB="0" distL="0" distR="0" wp14:anchorId="0C6664A1" wp14:editId="4F2F318E">
                  <wp:extent cx="1005840" cy="313690"/>
                  <wp:effectExtent l="0" t="0" r="3810" b="0"/>
                  <wp:docPr id="14" name="Picture 14"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313690"/>
                          </a:xfrm>
                          <a:prstGeom prst="rect">
                            <a:avLst/>
                          </a:prstGeom>
                          <a:noFill/>
                          <a:ln>
                            <a:noFill/>
                          </a:ln>
                        </pic:spPr>
                      </pic:pic>
                    </a:graphicData>
                  </a:graphic>
                </wp:inline>
              </w:drawing>
            </w:r>
          </w:p>
        </w:tc>
        <w:tc>
          <w:tcPr>
            <w:tcW w:w="2100" w:type="dxa"/>
            <w:tcBorders>
              <w:bottom w:val="single" w:sz="4" w:space="0" w:color="auto"/>
            </w:tcBorders>
          </w:tcPr>
          <w:p w:rsidR="00B42F30" w:rsidRDefault="00B42F30" w:rsidP="00B42F30">
            <w:pPr>
              <w:autoSpaceDE w:val="0"/>
              <w:autoSpaceDN w:val="0"/>
              <w:adjustRightInd w:val="0"/>
              <w:jc w:val="center"/>
              <w:rPr>
                <w:rFonts w:ascii="Calibri" w:eastAsia="Calibri" w:hAnsi="Calibri" w:cs="Calibri"/>
                <w:color w:val="000000"/>
                <w:sz w:val="22"/>
                <w:szCs w:val="22"/>
              </w:rPr>
            </w:pPr>
            <w:r>
              <w:rPr>
                <w:noProof/>
                <w:lang w:eastAsia="en-GB"/>
              </w:rPr>
              <w:drawing>
                <wp:inline distT="0" distB="0" distL="0" distR="0" wp14:anchorId="608CEFD9" wp14:editId="19DA3AD1">
                  <wp:extent cx="1031875" cy="313690"/>
                  <wp:effectExtent l="0" t="0" r="0" b="0"/>
                  <wp:docPr id="15" name="Picture 15"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1875" cy="313690"/>
                          </a:xfrm>
                          <a:prstGeom prst="rect">
                            <a:avLst/>
                          </a:prstGeom>
                          <a:noFill/>
                          <a:ln>
                            <a:noFill/>
                          </a:ln>
                        </pic:spPr>
                      </pic:pic>
                    </a:graphicData>
                  </a:graphic>
                </wp:inline>
              </w:drawing>
            </w:r>
          </w:p>
          <w:p w:rsidR="00B42F30" w:rsidRPr="00B42F30" w:rsidRDefault="00B42F30" w:rsidP="00B42F30">
            <w:pPr>
              <w:autoSpaceDE w:val="0"/>
              <w:autoSpaceDN w:val="0"/>
              <w:adjustRightInd w:val="0"/>
              <w:jc w:val="center"/>
              <w:rPr>
                <w:rFonts w:ascii="Calibri" w:eastAsia="Calibri" w:hAnsi="Calibri" w:cs="Calibri"/>
                <w:color w:val="000000"/>
                <w:sz w:val="8"/>
                <w:szCs w:val="8"/>
              </w:rPr>
            </w:pPr>
          </w:p>
        </w:tc>
      </w:tr>
      <w:tr w:rsidR="00B42F30" w:rsidTr="00E62510">
        <w:tc>
          <w:tcPr>
            <w:tcW w:w="2943" w:type="dxa"/>
            <w:tcBorders>
              <w:top w:val="single" w:sz="4" w:space="0" w:color="auto"/>
            </w:tcBorders>
            <w:shd w:val="clear" w:color="auto" w:fill="auto"/>
          </w:tcPr>
          <w:p w:rsidR="0067583C" w:rsidRPr="00224FD4" w:rsidRDefault="00E62510" w:rsidP="00C361AA">
            <w:pPr>
              <w:autoSpaceDE w:val="0"/>
              <w:autoSpaceDN w:val="0"/>
              <w:adjustRightInd w:val="0"/>
              <w:spacing w:before="120" w:after="120"/>
              <w:rPr>
                <w:rFonts w:ascii="Calibri" w:eastAsia="Calibri" w:hAnsi="Calibri" w:cs="Calibri"/>
                <w:sz w:val="22"/>
                <w:szCs w:val="22"/>
              </w:rPr>
            </w:pPr>
            <w:r w:rsidRPr="00224FD4">
              <w:rPr>
                <w:rFonts w:ascii="Calibri" w:eastAsia="Calibri" w:hAnsi="Calibri" w:cs="Calibri"/>
                <w:sz w:val="22"/>
                <w:szCs w:val="22"/>
              </w:rPr>
              <w:t>Vibrant Sustainable Economy</w:t>
            </w:r>
          </w:p>
        </w:tc>
        <w:tc>
          <w:tcPr>
            <w:tcW w:w="2099" w:type="dxa"/>
            <w:tcBorders>
              <w:top w:val="single" w:sz="4" w:space="0" w:color="auto"/>
            </w:tcBorders>
            <w:shd w:val="clear" w:color="auto" w:fill="auto"/>
          </w:tcPr>
          <w:p w:rsidR="00B42F30" w:rsidRPr="00224FD4" w:rsidRDefault="00901791" w:rsidP="0067583C">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5</w:t>
            </w:r>
            <w:r w:rsidR="00FD1376" w:rsidRPr="00224FD4">
              <w:rPr>
                <w:rFonts w:ascii="Calibri" w:eastAsia="Calibri" w:hAnsi="Calibri" w:cs="Calibri"/>
                <w:sz w:val="22"/>
                <w:szCs w:val="22"/>
              </w:rPr>
              <w:t xml:space="preserve"> (</w:t>
            </w:r>
            <w:r w:rsidRPr="00224FD4">
              <w:rPr>
                <w:rFonts w:ascii="Calibri" w:eastAsia="Calibri" w:hAnsi="Calibri" w:cs="Calibri"/>
                <w:sz w:val="22"/>
                <w:szCs w:val="22"/>
              </w:rPr>
              <w:t>56</w:t>
            </w:r>
            <w:r w:rsidR="00FD1376" w:rsidRPr="00224FD4">
              <w:rPr>
                <w:rFonts w:ascii="Calibri" w:eastAsia="Calibri" w:hAnsi="Calibri" w:cs="Calibri"/>
                <w:sz w:val="22"/>
                <w:szCs w:val="22"/>
              </w:rPr>
              <w:t>%)</w:t>
            </w:r>
          </w:p>
        </w:tc>
        <w:tc>
          <w:tcPr>
            <w:tcW w:w="2100" w:type="dxa"/>
            <w:tcBorders>
              <w:top w:val="single" w:sz="4" w:space="0" w:color="auto"/>
            </w:tcBorders>
            <w:shd w:val="clear" w:color="auto" w:fill="auto"/>
          </w:tcPr>
          <w:p w:rsidR="00B42F30" w:rsidRPr="00224FD4" w:rsidRDefault="004E1070" w:rsidP="00B42F30">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3</w:t>
            </w:r>
            <w:r w:rsidR="00FD1376" w:rsidRPr="00224FD4">
              <w:rPr>
                <w:rFonts w:ascii="Calibri" w:eastAsia="Calibri" w:hAnsi="Calibri" w:cs="Calibri"/>
                <w:sz w:val="22"/>
                <w:szCs w:val="22"/>
              </w:rPr>
              <w:t xml:space="preserve"> (</w:t>
            </w:r>
            <w:r w:rsidRPr="00224FD4">
              <w:rPr>
                <w:rFonts w:ascii="Calibri" w:eastAsia="Calibri" w:hAnsi="Calibri" w:cs="Calibri"/>
                <w:sz w:val="22"/>
                <w:szCs w:val="22"/>
              </w:rPr>
              <w:t>33</w:t>
            </w:r>
            <w:r w:rsidR="00FD1376" w:rsidRPr="00224FD4">
              <w:rPr>
                <w:rFonts w:ascii="Calibri" w:eastAsia="Calibri" w:hAnsi="Calibri" w:cs="Calibri"/>
                <w:sz w:val="22"/>
                <w:szCs w:val="22"/>
              </w:rPr>
              <w:t>%)</w:t>
            </w:r>
          </w:p>
        </w:tc>
        <w:tc>
          <w:tcPr>
            <w:tcW w:w="2100" w:type="dxa"/>
            <w:tcBorders>
              <w:top w:val="single" w:sz="4" w:space="0" w:color="auto"/>
            </w:tcBorders>
            <w:shd w:val="clear" w:color="auto" w:fill="auto"/>
          </w:tcPr>
          <w:p w:rsidR="00B42F30" w:rsidRPr="00224FD4" w:rsidRDefault="004E1070" w:rsidP="00B42F30">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1 (11%)</w:t>
            </w:r>
          </w:p>
        </w:tc>
      </w:tr>
      <w:tr w:rsidR="00E62510" w:rsidTr="00E62510">
        <w:tc>
          <w:tcPr>
            <w:tcW w:w="2943" w:type="dxa"/>
            <w:shd w:val="clear" w:color="auto" w:fill="auto"/>
          </w:tcPr>
          <w:p w:rsidR="00E62510" w:rsidRPr="00224FD4" w:rsidRDefault="00E62510" w:rsidP="00080674">
            <w:pPr>
              <w:autoSpaceDE w:val="0"/>
              <w:autoSpaceDN w:val="0"/>
              <w:adjustRightInd w:val="0"/>
              <w:spacing w:before="120" w:after="120"/>
              <w:rPr>
                <w:rFonts w:ascii="Calibri" w:eastAsia="Calibri" w:hAnsi="Calibri" w:cs="Calibri"/>
                <w:sz w:val="22"/>
                <w:szCs w:val="22"/>
              </w:rPr>
            </w:pPr>
            <w:r w:rsidRPr="00224FD4">
              <w:rPr>
                <w:rFonts w:ascii="Calibri" w:eastAsia="Calibri" w:hAnsi="Calibri" w:cs="Calibri"/>
                <w:sz w:val="22"/>
                <w:szCs w:val="22"/>
              </w:rPr>
              <w:t>Meeting Housing Needs</w:t>
            </w:r>
          </w:p>
        </w:tc>
        <w:tc>
          <w:tcPr>
            <w:tcW w:w="2099" w:type="dxa"/>
            <w:shd w:val="clear" w:color="auto" w:fill="auto"/>
          </w:tcPr>
          <w:p w:rsidR="00E62510" w:rsidRPr="00F62D80" w:rsidRDefault="00DF603D" w:rsidP="0037197D">
            <w:pPr>
              <w:autoSpaceDE w:val="0"/>
              <w:autoSpaceDN w:val="0"/>
              <w:adjustRightInd w:val="0"/>
              <w:spacing w:before="120" w:after="120"/>
              <w:jc w:val="center"/>
              <w:rPr>
                <w:rFonts w:ascii="Calibri" w:eastAsia="Calibri" w:hAnsi="Calibri" w:cs="Calibri"/>
                <w:sz w:val="22"/>
                <w:szCs w:val="22"/>
              </w:rPr>
            </w:pPr>
            <w:r w:rsidRPr="00F62D80">
              <w:rPr>
                <w:rFonts w:ascii="Calibri" w:eastAsia="Calibri" w:hAnsi="Calibri" w:cs="Calibri"/>
                <w:sz w:val="22"/>
                <w:szCs w:val="22"/>
              </w:rPr>
              <w:t>1</w:t>
            </w:r>
            <w:r w:rsidR="00E62510" w:rsidRPr="00F62D80">
              <w:rPr>
                <w:rFonts w:ascii="Calibri" w:eastAsia="Calibri" w:hAnsi="Calibri" w:cs="Calibri"/>
                <w:sz w:val="22"/>
                <w:szCs w:val="22"/>
              </w:rPr>
              <w:t xml:space="preserve"> (</w:t>
            </w:r>
            <w:r w:rsidR="00F62D80">
              <w:rPr>
                <w:rFonts w:ascii="Calibri" w:eastAsia="Calibri" w:hAnsi="Calibri" w:cs="Calibri"/>
                <w:sz w:val="22"/>
                <w:szCs w:val="22"/>
              </w:rPr>
              <w:t>17</w:t>
            </w:r>
            <w:r w:rsidR="00E62510" w:rsidRPr="00F62D80">
              <w:rPr>
                <w:rFonts w:ascii="Calibri" w:eastAsia="Calibri" w:hAnsi="Calibri" w:cs="Calibri"/>
                <w:sz w:val="22"/>
                <w:szCs w:val="22"/>
              </w:rPr>
              <w:t>%)</w:t>
            </w:r>
          </w:p>
        </w:tc>
        <w:tc>
          <w:tcPr>
            <w:tcW w:w="2100" w:type="dxa"/>
            <w:shd w:val="clear" w:color="auto" w:fill="auto"/>
          </w:tcPr>
          <w:p w:rsidR="00E62510" w:rsidRPr="00F62D80" w:rsidRDefault="00F62D80" w:rsidP="0037197D">
            <w:pPr>
              <w:autoSpaceDE w:val="0"/>
              <w:autoSpaceDN w:val="0"/>
              <w:adjustRightInd w:val="0"/>
              <w:spacing w:before="120" w:after="120"/>
              <w:jc w:val="center"/>
              <w:rPr>
                <w:rFonts w:ascii="Calibri" w:eastAsia="Calibri" w:hAnsi="Calibri" w:cs="Calibri"/>
                <w:sz w:val="22"/>
                <w:szCs w:val="22"/>
              </w:rPr>
            </w:pPr>
            <w:r w:rsidRPr="00F62D80">
              <w:rPr>
                <w:rFonts w:ascii="Calibri" w:eastAsia="Calibri" w:hAnsi="Calibri" w:cs="Calibri"/>
                <w:sz w:val="22"/>
                <w:szCs w:val="22"/>
              </w:rPr>
              <w:t>4</w:t>
            </w:r>
            <w:r w:rsidR="00E62510" w:rsidRPr="00F62D80">
              <w:rPr>
                <w:rFonts w:ascii="Calibri" w:eastAsia="Calibri" w:hAnsi="Calibri" w:cs="Calibri"/>
                <w:sz w:val="22"/>
                <w:szCs w:val="22"/>
              </w:rPr>
              <w:t xml:space="preserve"> (</w:t>
            </w:r>
            <w:r>
              <w:rPr>
                <w:rFonts w:ascii="Calibri" w:eastAsia="Calibri" w:hAnsi="Calibri" w:cs="Calibri"/>
                <w:sz w:val="22"/>
                <w:szCs w:val="22"/>
              </w:rPr>
              <w:t>66</w:t>
            </w:r>
            <w:r w:rsidR="00E62510" w:rsidRPr="00F62D80">
              <w:rPr>
                <w:rFonts w:ascii="Calibri" w:eastAsia="Calibri" w:hAnsi="Calibri" w:cs="Calibri"/>
                <w:sz w:val="22"/>
                <w:szCs w:val="22"/>
              </w:rPr>
              <w:t>%)</w:t>
            </w:r>
          </w:p>
        </w:tc>
        <w:tc>
          <w:tcPr>
            <w:tcW w:w="2100" w:type="dxa"/>
            <w:shd w:val="clear" w:color="auto" w:fill="auto"/>
          </w:tcPr>
          <w:p w:rsidR="00E62510" w:rsidRPr="00F62D80" w:rsidRDefault="00DF603D" w:rsidP="0037197D">
            <w:pPr>
              <w:autoSpaceDE w:val="0"/>
              <w:autoSpaceDN w:val="0"/>
              <w:adjustRightInd w:val="0"/>
              <w:spacing w:before="120" w:after="120"/>
              <w:jc w:val="center"/>
              <w:rPr>
                <w:rFonts w:ascii="Calibri" w:eastAsia="Calibri" w:hAnsi="Calibri" w:cs="Calibri"/>
                <w:sz w:val="22"/>
                <w:szCs w:val="22"/>
              </w:rPr>
            </w:pPr>
            <w:r w:rsidRPr="00F62D80">
              <w:rPr>
                <w:rFonts w:ascii="Calibri" w:eastAsia="Calibri" w:hAnsi="Calibri" w:cs="Calibri"/>
                <w:sz w:val="22"/>
                <w:szCs w:val="22"/>
              </w:rPr>
              <w:t>1</w:t>
            </w:r>
            <w:r w:rsidR="00E62510" w:rsidRPr="00F62D80">
              <w:rPr>
                <w:rFonts w:ascii="Calibri" w:eastAsia="Calibri" w:hAnsi="Calibri" w:cs="Calibri"/>
                <w:sz w:val="22"/>
                <w:szCs w:val="22"/>
              </w:rPr>
              <w:t xml:space="preserve"> (</w:t>
            </w:r>
            <w:r w:rsidR="00F62D80">
              <w:rPr>
                <w:rFonts w:ascii="Calibri" w:eastAsia="Calibri" w:hAnsi="Calibri" w:cs="Calibri"/>
                <w:sz w:val="22"/>
                <w:szCs w:val="22"/>
              </w:rPr>
              <w:t>17</w:t>
            </w:r>
            <w:r w:rsidR="00E62510" w:rsidRPr="00F62D80">
              <w:rPr>
                <w:rFonts w:ascii="Calibri" w:eastAsia="Calibri" w:hAnsi="Calibri" w:cs="Calibri"/>
                <w:sz w:val="22"/>
                <w:szCs w:val="22"/>
              </w:rPr>
              <w:t>%)</w:t>
            </w:r>
          </w:p>
        </w:tc>
      </w:tr>
      <w:tr w:rsidR="00E62510" w:rsidTr="00E62510">
        <w:tc>
          <w:tcPr>
            <w:tcW w:w="2943" w:type="dxa"/>
            <w:shd w:val="clear" w:color="auto" w:fill="auto"/>
          </w:tcPr>
          <w:p w:rsidR="00E62510" w:rsidRPr="00224FD4" w:rsidRDefault="00E62510" w:rsidP="00080674">
            <w:pPr>
              <w:autoSpaceDE w:val="0"/>
              <w:autoSpaceDN w:val="0"/>
              <w:adjustRightInd w:val="0"/>
              <w:spacing w:before="120" w:after="120"/>
              <w:rPr>
                <w:rFonts w:ascii="Calibri" w:eastAsia="Calibri" w:hAnsi="Calibri" w:cs="Calibri"/>
                <w:sz w:val="22"/>
                <w:szCs w:val="22"/>
              </w:rPr>
            </w:pPr>
            <w:r w:rsidRPr="00224FD4">
              <w:rPr>
                <w:rFonts w:ascii="Calibri" w:eastAsia="Calibri" w:hAnsi="Calibri" w:cs="Calibri"/>
                <w:sz w:val="22"/>
                <w:szCs w:val="22"/>
              </w:rPr>
              <w:t>Strong Active Communities</w:t>
            </w:r>
          </w:p>
        </w:tc>
        <w:tc>
          <w:tcPr>
            <w:tcW w:w="2099" w:type="dxa"/>
            <w:shd w:val="clear" w:color="auto" w:fill="auto"/>
          </w:tcPr>
          <w:p w:rsidR="00E62510" w:rsidRPr="00224FD4" w:rsidRDefault="00224FD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5</w:t>
            </w:r>
            <w:r w:rsidR="00E62510" w:rsidRPr="00224FD4">
              <w:rPr>
                <w:rFonts w:ascii="Calibri" w:eastAsia="Calibri" w:hAnsi="Calibri" w:cs="Calibri"/>
                <w:sz w:val="22"/>
                <w:szCs w:val="22"/>
              </w:rPr>
              <w:t xml:space="preserve"> (</w:t>
            </w:r>
            <w:r w:rsidRPr="00224FD4">
              <w:rPr>
                <w:rFonts w:ascii="Calibri" w:eastAsia="Calibri" w:hAnsi="Calibri" w:cs="Calibri"/>
                <w:sz w:val="22"/>
                <w:szCs w:val="22"/>
              </w:rPr>
              <w:t>100</w:t>
            </w:r>
            <w:r w:rsidR="00E62510" w:rsidRPr="00224FD4">
              <w:rPr>
                <w:rFonts w:ascii="Calibri" w:eastAsia="Calibri" w:hAnsi="Calibri" w:cs="Calibri"/>
                <w:sz w:val="22"/>
                <w:szCs w:val="22"/>
              </w:rPr>
              <w:t>%)</w:t>
            </w:r>
          </w:p>
        </w:tc>
        <w:tc>
          <w:tcPr>
            <w:tcW w:w="2100" w:type="dxa"/>
            <w:shd w:val="clear" w:color="auto" w:fill="auto"/>
          </w:tcPr>
          <w:p w:rsidR="00E62510" w:rsidRPr="00224FD4" w:rsidRDefault="00224FD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w:t>
            </w:r>
          </w:p>
        </w:tc>
        <w:tc>
          <w:tcPr>
            <w:tcW w:w="2100" w:type="dxa"/>
            <w:shd w:val="clear" w:color="auto" w:fill="auto"/>
          </w:tcPr>
          <w:p w:rsidR="00E62510" w:rsidRPr="00224FD4" w:rsidRDefault="00224FD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w:t>
            </w:r>
          </w:p>
        </w:tc>
      </w:tr>
      <w:tr w:rsidR="00E62510" w:rsidTr="00E62510">
        <w:tc>
          <w:tcPr>
            <w:tcW w:w="2943" w:type="dxa"/>
            <w:tcBorders>
              <w:bottom w:val="single" w:sz="4" w:space="0" w:color="auto"/>
            </w:tcBorders>
            <w:shd w:val="clear" w:color="auto" w:fill="auto"/>
          </w:tcPr>
          <w:p w:rsidR="00E62510" w:rsidRPr="00224FD4" w:rsidRDefault="00E62510" w:rsidP="00080674">
            <w:pPr>
              <w:autoSpaceDE w:val="0"/>
              <w:autoSpaceDN w:val="0"/>
              <w:adjustRightInd w:val="0"/>
              <w:spacing w:before="120" w:after="120"/>
              <w:rPr>
                <w:rFonts w:ascii="Calibri" w:eastAsia="Calibri" w:hAnsi="Calibri" w:cs="Calibri"/>
                <w:sz w:val="22"/>
                <w:szCs w:val="22"/>
              </w:rPr>
            </w:pPr>
            <w:r w:rsidRPr="00224FD4">
              <w:rPr>
                <w:rFonts w:ascii="Calibri" w:eastAsia="Calibri" w:hAnsi="Calibri" w:cs="Calibri"/>
                <w:sz w:val="22"/>
                <w:szCs w:val="22"/>
              </w:rPr>
              <w:t>Cleaner Greener Oxford</w:t>
            </w:r>
          </w:p>
        </w:tc>
        <w:tc>
          <w:tcPr>
            <w:tcW w:w="2099" w:type="dxa"/>
            <w:tcBorders>
              <w:bottom w:val="single" w:sz="4" w:space="0" w:color="auto"/>
            </w:tcBorders>
            <w:shd w:val="clear" w:color="auto" w:fill="auto"/>
          </w:tcPr>
          <w:p w:rsidR="00E62510" w:rsidRPr="00224FD4" w:rsidRDefault="00C577F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12</w:t>
            </w:r>
            <w:r w:rsidR="00E62510" w:rsidRPr="00224FD4">
              <w:rPr>
                <w:rFonts w:ascii="Calibri" w:eastAsia="Calibri" w:hAnsi="Calibri" w:cs="Calibri"/>
                <w:sz w:val="22"/>
                <w:szCs w:val="22"/>
              </w:rPr>
              <w:t xml:space="preserve"> (</w:t>
            </w:r>
            <w:r w:rsidRPr="00224FD4">
              <w:rPr>
                <w:rFonts w:ascii="Calibri" w:eastAsia="Calibri" w:hAnsi="Calibri" w:cs="Calibri"/>
                <w:sz w:val="22"/>
                <w:szCs w:val="22"/>
              </w:rPr>
              <w:t>92</w:t>
            </w:r>
            <w:r w:rsidR="00E62510" w:rsidRPr="00224FD4">
              <w:rPr>
                <w:rFonts w:ascii="Calibri" w:eastAsia="Calibri" w:hAnsi="Calibri" w:cs="Calibri"/>
                <w:sz w:val="22"/>
                <w:szCs w:val="22"/>
              </w:rPr>
              <w:t>%)</w:t>
            </w:r>
          </w:p>
        </w:tc>
        <w:tc>
          <w:tcPr>
            <w:tcW w:w="2100" w:type="dxa"/>
            <w:tcBorders>
              <w:bottom w:val="single" w:sz="4" w:space="0" w:color="auto"/>
            </w:tcBorders>
            <w:shd w:val="clear" w:color="auto" w:fill="auto"/>
          </w:tcPr>
          <w:p w:rsidR="00E62510" w:rsidRPr="00224FD4" w:rsidRDefault="00C577F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1</w:t>
            </w:r>
            <w:r w:rsidR="00E62510" w:rsidRPr="00224FD4">
              <w:rPr>
                <w:rFonts w:ascii="Calibri" w:eastAsia="Calibri" w:hAnsi="Calibri" w:cs="Calibri"/>
                <w:sz w:val="22"/>
                <w:szCs w:val="22"/>
              </w:rPr>
              <w:t xml:space="preserve"> (</w:t>
            </w:r>
            <w:r w:rsidRPr="00224FD4">
              <w:rPr>
                <w:rFonts w:ascii="Calibri" w:eastAsia="Calibri" w:hAnsi="Calibri" w:cs="Calibri"/>
                <w:sz w:val="22"/>
                <w:szCs w:val="22"/>
              </w:rPr>
              <w:t>8</w:t>
            </w:r>
            <w:r w:rsidR="00E62510" w:rsidRPr="00224FD4">
              <w:rPr>
                <w:rFonts w:ascii="Calibri" w:eastAsia="Calibri" w:hAnsi="Calibri" w:cs="Calibri"/>
                <w:sz w:val="22"/>
                <w:szCs w:val="22"/>
              </w:rPr>
              <w:t>%)</w:t>
            </w:r>
          </w:p>
        </w:tc>
        <w:tc>
          <w:tcPr>
            <w:tcW w:w="2100" w:type="dxa"/>
            <w:tcBorders>
              <w:bottom w:val="single" w:sz="4" w:space="0" w:color="auto"/>
            </w:tcBorders>
            <w:shd w:val="clear" w:color="auto" w:fill="auto"/>
          </w:tcPr>
          <w:p w:rsidR="00E62510" w:rsidRPr="00224FD4" w:rsidRDefault="00C577F4" w:rsidP="0037197D">
            <w:pPr>
              <w:autoSpaceDE w:val="0"/>
              <w:autoSpaceDN w:val="0"/>
              <w:adjustRightInd w:val="0"/>
              <w:spacing w:before="120" w:after="120"/>
              <w:jc w:val="center"/>
              <w:rPr>
                <w:rFonts w:ascii="Calibri" w:eastAsia="Calibri" w:hAnsi="Calibri" w:cs="Calibri"/>
                <w:sz w:val="22"/>
                <w:szCs w:val="22"/>
              </w:rPr>
            </w:pPr>
            <w:r w:rsidRPr="00224FD4">
              <w:rPr>
                <w:rFonts w:ascii="Calibri" w:eastAsia="Calibri" w:hAnsi="Calibri" w:cs="Calibri"/>
                <w:sz w:val="22"/>
                <w:szCs w:val="22"/>
              </w:rPr>
              <w:t>-</w:t>
            </w:r>
          </w:p>
        </w:tc>
      </w:tr>
      <w:tr w:rsidR="00E62510" w:rsidTr="00FE52F1">
        <w:tc>
          <w:tcPr>
            <w:tcW w:w="2943" w:type="dxa"/>
            <w:tcBorders>
              <w:top w:val="single" w:sz="4" w:space="0" w:color="auto"/>
              <w:bottom w:val="single" w:sz="4" w:space="0" w:color="auto"/>
            </w:tcBorders>
            <w:shd w:val="clear" w:color="auto" w:fill="FFFFFF" w:themeFill="background1"/>
          </w:tcPr>
          <w:p w:rsidR="00E62510" w:rsidRPr="00E62510" w:rsidRDefault="00E62510" w:rsidP="00080674">
            <w:pPr>
              <w:autoSpaceDE w:val="0"/>
              <w:autoSpaceDN w:val="0"/>
              <w:adjustRightInd w:val="0"/>
              <w:spacing w:before="120" w:after="120"/>
              <w:rPr>
                <w:rFonts w:ascii="Calibri" w:eastAsia="Calibri" w:hAnsi="Calibri" w:cs="Calibri"/>
                <w:b/>
                <w:color w:val="000000"/>
                <w:sz w:val="22"/>
                <w:szCs w:val="22"/>
              </w:rPr>
            </w:pPr>
            <w:r w:rsidRPr="00E62510">
              <w:rPr>
                <w:rFonts w:ascii="Calibri" w:eastAsia="Calibri" w:hAnsi="Calibri" w:cs="Calibri"/>
                <w:b/>
                <w:color w:val="000000"/>
                <w:sz w:val="22"/>
                <w:szCs w:val="22"/>
              </w:rPr>
              <w:t>Overall Performance 2013/14</w:t>
            </w:r>
          </w:p>
        </w:tc>
        <w:tc>
          <w:tcPr>
            <w:tcW w:w="2099" w:type="dxa"/>
            <w:tcBorders>
              <w:top w:val="single" w:sz="4" w:space="0" w:color="auto"/>
              <w:bottom w:val="single" w:sz="4" w:space="0" w:color="auto"/>
            </w:tcBorders>
            <w:shd w:val="clear" w:color="auto" w:fill="FFFFFF" w:themeFill="background1"/>
          </w:tcPr>
          <w:p w:rsidR="00E62510" w:rsidRPr="00F62D80" w:rsidRDefault="00F62D80" w:rsidP="0037197D">
            <w:pPr>
              <w:autoSpaceDE w:val="0"/>
              <w:autoSpaceDN w:val="0"/>
              <w:adjustRightInd w:val="0"/>
              <w:spacing w:before="120" w:after="120"/>
              <w:jc w:val="center"/>
              <w:rPr>
                <w:rFonts w:ascii="Calibri" w:eastAsia="Calibri" w:hAnsi="Calibri" w:cs="Calibri"/>
                <w:b/>
                <w:color w:val="000000"/>
                <w:sz w:val="22"/>
                <w:szCs w:val="22"/>
              </w:rPr>
            </w:pPr>
            <w:r w:rsidRPr="00F62D80">
              <w:rPr>
                <w:rFonts w:ascii="Calibri" w:eastAsia="Calibri" w:hAnsi="Calibri" w:cs="Calibri"/>
                <w:b/>
                <w:color w:val="000000"/>
                <w:sz w:val="22"/>
                <w:szCs w:val="22"/>
              </w:rPr>
              <w:t>23</w:t>
            </w:r>
            <w:r w:rsidR="00E62510" w:rsidRPr="00F62D80">
              <w:rPr>
                <w:rFonts w:ascii="Calibri" w:eastAsia="Calibri" w:hAnsi="Calibri" w:cs="Calibri"/>
                <w:b/>
                <w:color w:val="000000"/>
                <w:sz w:val="22"/>
                <w:szCs w:val="22"/>
              </w:rPr>
              <w:t xml:space="preserve"> (</w:t>
            </w:r>
            <w:r w:rsidRPr="00F62D80">
              <w:rPr>
                <w:rFonts w:ascii="Calibri" w:eastAsia="Calibri" w:hAnsi="Calibri" w:cs="Calibri"/>
                <w:b/>
                <w:color w:val="000000"/>
                <w:sz w:val="22"/>
                <w:szCs w:val="22"/>
              </w:rPr>
              <w:t>70</w:t>
            </w:r>
            <w:r w:rsidR="00E62510" w:rsidRPr="00F62D80">
              <w:rPr>
                <w:rFonts w:ascii="Calibri" w:eastAsia="Calibri" w:hAnsi="Calibri" w:cs="Calibri"/>
                <w:b/>
                <w:color w:val="000000"/>
                <w:sz w:val="22"/>
                <w:szCs w:val="22"/>
              </w:rPr>
              <w:t>%)</w:t>
            </w:r>
          </w:p>
        </w:tc>
        <w:tc>
          <w:tcPr>
            <w:tcW w:w="2100" w:type="dxa"/>
            <w:tcBorders>
              <w:top w:val="single" w:sz="4" w:space="0" w:color="auto"/>
              <w:bottom w:val="single" w:sz="4" w:space="0" w:color="auto"/>
            </w:tcBorders>
            <w:shd w:val="clear" w:color="auto" w:fill="FFFFFF" w:themeFill="background1"/>
          </w:tcPr>
          <w:p w:rsidR="00E62510" w:rsidRPr="00F62D80" w:rsidRDefault="00F62D80" w:rsidP="0037197D">
            <w:pPr>
              <w:autoSpaceDE w:val="0"/>
              <w:autoSpaceDN w:val="0"/>
              <w:adjustRightInd w:val="0"/>
              <w:spacing w:before="120" w:after="120"/>
              <w:jc w:val="center"/>
              <w:rPr>
                <w:rFonts w:ascii="Calibri" w:eastAsia="Calibri" w:hAnsi="Calibri" w:cs="Calibri"/>
                <w:b/>
                <w:color w:val="000000"/>
                <w:sz w:val="22"/>
                <w:szCs w:val="22"/>
              </w:rPr>
            </w:pPr>
            <w:r w:rsidRPr="00F62D80">
              <w:rPr>
                <w:rFonts w:ascii="Calibri" w:eastAsia="Calibri" w:hAnsi="Calibri" w:cs="Calibri"/>
                <w:b/>
                <w:color w:val="000000"/>
                <w:sz w:val="22"/>
                <w:szCs w:val="22"/>
              </w:rPr>
              <w:t>8</w:t>
            </w:r>
            <w:r w:rsidR="00E62510" w:rsidRPr="00F62D80">
              <w:rPr>
                <w:rFonts w:ascii="Calibri" w:eastAsia="Calibri" w:hAnsi="Calibri" w:cs="Calibri"/>
                <w:b/>
                <w:color w:val="000000"/>
                <w:sz w:val="22"/>
                <w:szCs w:val="22"/>
              </w:rPr>
              <w:t xml:space="preserve"> (</w:t>
            </w:r>
            <w:r w:rsidRPr="00F62D80">
              <w:rPr>
                <w:rFonts w:ascii="Calibri" w:eastAsia="Calibri" w:hAnsi="Calibri" w:cs="Calibri"/>
                <w:b/>
                <w:color w:val="000000"/>
                <w:sz w:val="22"/>
                <w:szCs w:val="22"/>
              </w:rPr>
              <w:t>24</w:t>
            </w:r>
            <w:r w:rsidR="00E62510" w:rsidRPr="00F62D80">
              <w:rPr>
                <w:rFonts w:ascii="Calibri" w:eastAsia="Calibri" w:hAnsi="Calibri" w:cs="Calibri"/>
                <w:b/>
                <w:color w:val="000000"/>
                <w:sz w:val="22"/>
                <w:szCs w:val="22"/>
              </w:rPr>
              <w:t>%)</w:t>
            </w:r>
          </w:p>
        </w:tc>
        <w:tc>
          <w:tcPr>
            <w:tcW w:w="2100" w:type="dxa"/>
            <w:tcBorders>
              <w:top w:val="single" w:sz="4" w:space="0" w:color="auto"/>
              <w:bottom w:val="single" w:sz="4" w:space="0" w:color="auto"/>
            </w:tcBorders>
            <w:shd w:val="clear" w:color="auto" w:fill="FFFFFF" w:themeFill="background1"/>
          </w:tcPr>
          <w:p w:rsidR="00E62510" w:rsidRPr="00F62D80" w:rsidRDefault="00F62D80" w:rsidP="0037197D">
            <w:pPr>
              <w:autoSpaceDE w:val="0"/>
              <w:autoSpaceDN w:val="0"/>
              <w:adjustRightInd w:val="0"/>
              <w:spacing w:before="120" w:after="120"/>
              <w:jc w:val="center"/>
              <w:rPr>
                <w:rFonts w:ascii="Calibri" w:eastAsia="Calibri" w:hAnsi="Calibri" w:cs="Calibri"/>
                <w:b/>
                <w:color w:val="000000"/>
                <w:sz w:val="22"/>
                <w:szCs w:val="22"/>
              </w:rPr>
            </w:pPr>
            <w:r w:rsidRPr="00F62D80">
              <w:rPr>
                <w:rFonts w:ascii="Calibri" w:eastAsia="Calibri" w:hAnsi="Calibri" w:cs="Calibri"/>
                <w:b/>
                <w:color w:val="000000"/>
                <w:sz w:val="22"/>
                <w:szCs w:val="22"/>
              </w:rPr>
              <w:t>2</w:t>
            </w:r>
            <w:r w:rsidR="00E62510" w:rsidRPr="00F62D80">
              <w:rPr>
                <w:rFonts w:ascii="Calibri" w:eastAsia="Calibri" w:hAnsi="Calibri" w:cs="Calibri"/>
                <w:b/>
                <w:color w:val="000000"/>
                <w:sz w:val="22"/>
                <w:szCs w:val="22"/>
              </w:rPr>
              <w:t xml:space="preserve"> (</w:t>
            </w:r>
            <w:r w:rsidRPr="00F62D80">
              <w:rPr>
                <w:rFonts w:ascii="Calibri" w:eastAsia="Calibri" w:hAnsi="Calibri" w:cs="Calibri"/>
                <w:b/>
                <w:color w:val="000000"/>
                <w:sz w:val="22"/>
                <w:szCs w:val="22"/>
              </w:rPr>
              <w:t>6</w:t>
            </w:r>
            <w:r w:rsidR="00E62510" w:rsidRPr="00F62D80">
              <w:rPr>
                <w:rFonts w:ascii="Calibri" w:eastAsia="Calibri" w:hAnsi="Calibri" w:cs="Calibri"/>
                <w:b/>
                <w:color w:val="000000"/>
                <w:sz w:val="22"/>
                <w:szCs w:val="22"/>
              </w:rPr>
              <w:t>%)</w:t>
            </w:r>
          </w:p>
        </w:tc>
      </w:tr>
    </w:tbl>
    <w:p w:rsidR="0067583C" w:rsidRPr="00B42F30" w:rsidRDefault="0067583C" w:rsidP="00B42F30">
      <w:pPr>
        <w:autoSpaceDE w:val="0"/>
        <w:autoSpaceDN w:val="0"/>
        <w:adjustRightInd w:val="0"/>
        <w:spacing w:after="200" w:line="276" w:lineRule="auto"/>
        <w:jc w:val="both"/>
        <w:rPr>
          <w:rFonts w:ascii="Calibri" w:eastAsia="Calibri" w:hAnsi="Calibri" w:cs="Calibri"/>
          <w:color w:val="000000"/>
          <w:sz w:val="22"/>
          <w:szCs w:val="22"/>
        </w:rPr>
      </w:pPr>
    </w:p>
    <w:p w:rsidR="00951575" w:rsidRPr="0029718F" w:rsidRDefault="000037C7" w:rsidP="004335B5">
      <w:pPr>
        <w:pStyle w:val="ListParagraph"/>
        <w:numPr>
          <w:ilvl w:val="1"/>
          <w:numId w:val="3"/>
        </w:numPr>
        <w:autoSpaceDE w:val="0"/>
        <w:autoSpaceDN w:val="0"/>
        <w:adjustRightInd w:val="0"/>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Overall performance against indicators is </w:t>
      </w:r>
      <w:r w:rsidR="0029718F">
        <w:rPr>
          <w:rFonts w:ascii="Calibri" w:eastAsia="Calibri" w:hAnsi="Calibri" w:cs="Calibri"/>
          <w:color w:val="000000"/>
          <w:sz w:val="22"/>
          <w:szCs w:val="22"/>
        </w:rPr>
        <w:t xml:space="preserve">fairly </w:t>
      </w:r>
      <w:r>
        <w:rPr>
          <w:rFonts w:ascii="Calibri" w:eastAsia="Calibri" w:hAnsi="Calibri" w:cs="Calibri"/>
          <w:color w:val="000000"/>
          <w:sz w:val="22"/>
          <w:szCs w:val="22"/>
        </w:rPr>
        <w:t>positive,</w:t>
      </w:r>
      <w:r w:rsidR="00951575">
        <w:rPr>
          <w:rFonts w:ascii="Calibri" w:eastAsia="Calibri" w:hAnsi="Calibri" w:cs="Calibri"/>
          <w:color w:val="000000"/>
          <w:sz w:val="22"/>
          <w:szCs w:val="22"/>
        </w:rPr>
        <w:t xml:space="preserve"> with the majority sco</w:t>
      </w:r>
      <w:r w:rsidR="0029718F">
        <w:rPr>
          <w:rFonts w:ascii="Calibri" w:eastAsia="Calibri" w:hAnsi="Calibri" w:cs="Calibri"/>
          <w:color w:val="000000"/>
          <w:sz w:val="22"/>
          <w:szCs w:val="22"/>
        </w:rPr>
        <w:t xml:space="preserve">ring </w:t>
      </w:r>
      <w:r w:rsidR="00951575">
        <w:rPr>
          <w:rFonts w:ascii="Calibri" w:eastAsia="Calibri" w:hAnsi="Calibri" w:cs="Calibri"/>
          <w:color w:val="000000"/>
          <w:sz w:val="22"/>
          <w:szCs w:val="22"/>
        </w:rPr>
        <w:t>green rating</w:t>
      </w:r>
      <w:r w:rsidR="0029718F">
        <w:rPr>
          <w:rFonts w:ascii="Calibri" w:eastAsia="Calibri" w:hAnsi="Calibri" w:cs="Calibri"/>
          <w:color w:val="000000"/>
          <w:sz w:val="22"/>
          <w:szCs w:val="22"/>
        </w:rPr>
        <w:t>s</w:t>
      </w:r>
      <w:r w:rsidR="00951575">
        <w:rPr>
          <w:rFonts w:ascii="Calibri" w:eastAsia="Calibri" w:hAnsi="Calibri" w:cs="Calibri"/>
          <w:color w:val="000000"/>
          <w:sz w:val="22"/>
          <w:szCs w:val="22"/>
        </w:rPr>
        <w:t xml:space="preserve"> for meeting or making considerable progress towards targets in 2013/14. Indicator performance was particularly strong for environmental and social indicators, with 100% of Strong Active Communities targets and 92% of Cleaner Greener Oxford targets being achieved. This reflects the significant progress that has been made towards delivering major regeneration </w:t>
      </w:r>
      <w:r w:rsidR="0029718F">
        <w:rPr>
          <w:rFonts w:ascii="Calibri" w:eastAsia="Calibri" w:hAnsi="Calibri" w:cs="Calibri"/>
          <w:color w:val="000000"/>
          <w:sz w:val="22"/>
          <w:szCs w:val="22"/>
        </w:rPr>
        <w:t xml:space="preserve">and development </w:t>
      </w:r>
      <w:r w:rsidR="00951575">
        <w:rPr>
          <w:rFonts w:ascii="Calibri" w:eastAsia="Calibri" w:hAnsi="Calibri" w:cs="Calibri"/>
          <w:color w:val="000000"/>
          <w:sz w:val="22"/>
          <w:szCs w:val="22"/>
        </w:rPr>
        <w:t>projects, as well as the Council’s commitment to protecting and enhancing Oxford’s historic buildings and open spaces.</w:t>
      </w:r>
    </w:p>
    <w:p w:rsidR="00EA796B" w:rsidRDefault="00951575"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Performance against economic and housing indicators was more mixed, as e</w:t>
      </w:r>
      <w:r w:rsidR="000037C7">
        <w:rPr>
          <w:rFonts w:ascii="Calibri" w:eastAsia="Calibri" w:hAnsi="Calibri" w:cs="Calibri"/>
          <w:color w:val="000000"/>
          <w:sz w:val="22"/>
          <w:szCs w:val="22"/>
        </w:rPr>
        <w:t xml:space="preserve">conomic conditions have continued to be challenging during </w:t>
      </w:r>
      <w:r>
        <w:rPr>
          <w:rFonts w:ascii="Calibri" w:eastAsia="Calibri" w:hAnsi="Calibri" w:cs="Calibri"/>
          <w:color w:val="000000"/>
          <w:sz w:val="22"/>
          <w:szCs w:val="22"/>
        </w:rPr>
        <w:t>2013/14.</w:t>
      </w:r>
      <w:r w:rsidR="0029718F">
        <w:rPr>
          <w:rFonts w:ascii="Calibri" w:eastAsia="Calibri" w:hAnsi="Calibri" w:cs="Calibri"/>
          <w:color w:val="000000"/>
          <w:sz w:val="22"/>
          <w:szCs w:val="22"/>
        </w:rPr>
        <w:t xml:space="preserve"> Two indicators scored red ratings indicating under performance against their targets: employment development on allocated sites and affordable housing completions. </w:t>
      </w:r>
    </w:p>
    <w:p w:rsidR="0029718F" w:rsidRPr="0029718F" w:rsidRDefault="0029718F"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Although this is disappointing, </w:t>
      </w:r>
      <w:r w:rsidR="000037C7">
        <w:rPr>
          <w:rFonts w:ascii="Calibri" w:eastAsia="Calibri" w:hAnsi="Calibri" w:cs="Calibri"/>
          <w:color w:val="000000"/>
          <w:sz w:val="22"/>
          <w:szCs w:val="22"/>
        </w:rPr>
        <w:t>activity in the construction industr</w:t>
      </w:r>
      <w:r>
        <w:rPr>
          <w:rFonts w:ascii="Calibri" w:eastAsia="Calibri" w:hAnsi="Calibri" w:cs="Calibri"/>
          <w:color w:val="000000"/>
          <w:sz w:val="22"/>
          <w:szCs w:val="22"/>
        </w:rPr>
        <w:t>y is</w:t>
      </w:r>
      <w:r w:rsidR="000037C7">
        <w:rPr>
          <w:rFonts w:ascii="Calibri" w:eastAsia="Calibri" w:hAnsi="Calibri" w:cs="Calibri"/>
          <w:color w:val="000000"/>
          <w:sz w:val="22"/>
          <w:szCs w:val="22"/>
        </w:rPr>
        <w:t xml:space="preserve"> increasing</w:t>
      </w:r>
      <w:r>
        <w:rPr>
          <w:rFonts w:ascii="Calibri" w:eastAsia="Calibri" w:hAnsi="Calibri" w:cs="Calibri"/>
          <w:color w:val="000000"/>
          <w:sz w:val="22"/>
          <w:szCs w:val="22"/>
        </w:rPr>
        <w:t xml:space="preserve"> and performance is expected to improve in subsequent years</w:t>
      </w:r>
      <w:r w:rsidR="000037C7">
        <w:rPr>
          <w:rFonts w:ascii="Calibri" w:eastAsia="Calibri" w:hAnsi="Calibri" w:cs="Calibri"/>
          <w:color w:val="000000"/>
          <w:sz w:val="22"/>
          <w:szCs w:val="22"/>
        </w:rPr>
        <w:t>.</w:t>
      </w:r>
      <w:r>
        <w:rPr>
          <w:rFonts w:ascii="Calibri" w:eastAsia="Calibri" w:hAnsi="Calibri" w:cs="Calibri"/>
          <w:color w:val="000000"/>
          <w:sz w:val="22"/>
          <w:szCs w:val="22"/>
        </w:rPr>
        <w:t xml:space="preserve"> For example, although there were no affordable housing completions during the monitoring year, this was anticipated</w:t>
      </w:r>
      <w:r w:rsidR="00EA796B">
        <w:rPr>
          <w:rFonts w:ascii="Calibri" w:eastAsia="Calibri" w:hAnsi="Calibri" w:cs="Calibri"/>
          <w:color w:val="000000"/>
          <w:sz w:val="22"/>
          <w:szCs w:val="22"/>
        </w:rPr>
        <w:t xml:space="preserve"> as</w:t>
      </w:r>
      <w:r>
        <w:rPr>
          <w:rFonts w:ascii="Calibri" w:eastAsia="Calibri" w:hAnsi="Calibri" w:cs="Calibri"/>
          <w:color w:val="000000"/>
          <w:sz w:val="22"/>
          <w:szCs w:val="22"/>
        </w:rPr>
        <w:t xml:space="preserve"> </w:t>
      </w:r>
      <w:r w:rsidR="00EA796B">
        <w:rPr>
          <w:rFonts w:ascii="Calibri" w:eastAsia="Calibri" w:hAnsi="Calibri" w:cs="Calibri"/>
          <w:color w:val="000000"/>
          <w:sz w:val="22"/>
          <w:szCs w:val="22"/>
        </w:rPr>
        <w:t xml:space="preserve">there </w:t>
      </w:r>
      <w:r>
        <w:rPr>
          <w:rFonts w:ascii="Calibri" w:eastAsia="Calibri" w:hAnsi="Calibri" w:cs="Calibri"/>
          <w:sz w:val="22"/>
          <w:szCs w:val="22"/>
        </w:rPr>
        <w:t>wer</w:t>
      </w:r>
      <w:r w:rsidRPr="0029718F">
        <w:rPr>
          <w:rFonts w:ascii="Calibri" w:eastAsia="Calibri" w:hAnsi="Calibri" w:cs="Calibri"/>
          <w:sz w:val="22"/>
          <w:szCs w:val="22"/>
        </w:rPr>
        <w:t xml:space="preserve">e no permissions granted for affordable housing in the previous monitoring year and the Corporate Plan target for 2013/14 was low, at only 4 units. Affordable housing delivery is expected to rise in subsequent years as planning permission was granted for 599 (gross) affordable homes during the monitoring year, representing a potential net gain of 493 affordable dwellings if all schemes are implemented. 220 of these homes (114 net) are proposed on Oxford City Council sites.  A further 354 affordable homes have been granted outline permission at the Barton Strategic site, a joint venture between the City Council and a private developer. </w:t>
      </w:r>
      <w:proofErr w:type="gramStart"/>
      <w:r w:rsidRPr="0029718F">
        <w:rPr>
          <w:rFonts w:ascii="Calibri" w:eastAsia="Calibri" w:hAnsi="Calibri" w:cs="Calibri"/>
          <w:sz w:val="22"/>
          <w:szCs w:val="22"/>
        </w:rPr>
        <w:t>The 2014-18 Corporate Plan</w:t>
      </w:r>
      <w:proofErr w:type="gramEnd"/>
      <w:r w:rsidRPr="0029718F">
        <w:rPr>
          <w:rFonts w:ascii="Calibri" w:eastAsia="Calibri" w:hAnsi="Calibri" w:cs="Calibri"/>
          <w:sz w:val="22"/>
          <w:szCs w:val="22"/>
        </w:rPr>
        <w:t xml:space="preserve"> sets a higher target of 180 affordable homes to be delivered in 2014/15, reflecting expectations that affordable housing delivery is set to increase in </w:t>
      </w:r>
      <w:r w:rsidR="00E478DF">
        <w:rPr>
          <w:rFonts w:ascii="Calibri" w:eastAsia="Calibri" w:hAnsi="Calibri" w:cs="Calibri"/>
          <w:sz w:val="22"/>
          <w:szCs w:val="22"/>
        </w:rPr>
        <w:t>future</w:t>
      </w:r>
      <w:r w:rsidRPr="0029718F">
        <w:rPr>
          <w:rFonts w:ascii="Calibri" w:eastAsia="Calibri" w:hAnsi="Calibri" w:cs="Calibri"/>
          <w:sz w:val="22"/>
          <w:szCs w:val="22"/>
        </w:rPr>
        <w:t xml:space="preserve"> monitoring years.</w:t>
      </w:r>
      <w:r>
        <w:rPr>
          <w:rFonts w:ascii="Calibri" w:eastAsia="Calibri" w:hAnsi="Calibri" w:cs="Calibri"/>
          <w:sz w:val="22"/>
          <w:szCs w:val="22"/>
        </w:rPr>
        <w:t xml:space="preserve"> </w:t>
      </w:r>
    </w:p>
    <w:p w:rsidR="0029718F" w:rsidRPr="00EA796B" w:rsidRDefault="0029718F"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sz w:val="22"/>
          <w:szCs w:val="22"/>
        </w:rPr>
        <w:t xml:space="preserve">Similarly, </w:t>
      </w:r>
      <w:r>
        <w:rPr>
          <w:rFonts w:ascii="Calibri" w:eastAsia="Calibri" w:hAnsi="Calibri" w:cs="Calibri"/>
          <w:color w:val="000000"/>
          <w:sz w:val="22"/>
          <w:szCs w:val="22"/>
        </w:rPr>
        <w:t xml:space="preserve">although no employment developments were completed on allocated sites in 2013/14, it is anticipated that the situation will improve </w:t>
      </w:r>
      <w:r w:rsidR="00EA796B">
        <w:rPr>
          <w:rFonts w:ascii="Calibri" w:eastAsia="Calibri" w:hAnsi="Calibri" w:cs="Calibri"/>
          <w:color w:val="000000"/>
          <w:sz w:val="22"/>
          <w:szCs w:val="22"/>
        </w:rPr>
        <w:t xml:space="preserve">in </w:t>
      </w:r>
      <w:r w:rsidR="00E478DF">
        <w:rPr>
          <w:rFonts w:ascii="Calibri" w:eastAsia="Calibri" w:hAnsi="Calibri" w:cs="Calibri"/>
          <w:color w:val="000000"/>
          <w:sz w:val="22"/>
          <w:szCs w:val="22"/>
        </w:rPr>
        <w:t>future</w:t>
      </w:r>
      <w:r w:rsidR="00EA796B">
        <w:rPr>
          <w:rFonts w:ascii="Calibri" w:eastAsia="Calibri" w:hAnsi="Calibri" w:cs="Calibri"/>
          <w:color w:val="000000"/>
          <w:sz w:val="22"/>
          <w:szCs w:val="22"/>
        </w:rPr>
        <w:t xml:space="preserve"> monitoring years as a number of planning applications have been approved and more are under consideration. </w:t>
      </w:r>
    </w:p>
    <w:p w:rsidR="00C41D3B" w:rsidRDefault="00280EB5" w:rsidP="00670AA8">
      <w:pPr>
        <w:autoSpaceDE w:val="0"/>
        <w:autoSpaceDN w:val="0"/>
        <w:adjustRightInd w:val="0"/>
        <w:spacing w:after="200" w:line="276" w:lineRule="auto"/>
        <w:jc w:val="both"/>
        <w:rPr>
          <w:rFonts w:ascii="Calibri" w:eastAsia="Calibri" w:hAnsi="Calibri" w:cs="Calibri"/>
          <w:b/>
          <w:color w:val="244061" w:themeColor="accent1" w:themeShade="80"/>
          <w:sz w:val="32"/>
          <w:szCs w:val="32"/>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44256" behindDoc="0" locked="0" layoutInCell="1" allowOverlap="1" wp14:anchorId="640F1560" wp14:editId="31B3FF95">
                <wp:simplePos x="0" y="0"/>
                <wp:positionH relativeFrom="column">
                  <wp:posOffset>3487420</wp:posOffset>
                </wp:positionH>
                <wp:positionV relativeFrom="paragraph">
                  <wp:posOffset>-608330</wp:posOffset>
                </wp:positionV>
                <wp:extent cx="2427877" cy="352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427877" cy="352425"/>
                        </a:xfrm>
                        <a:prstGeom prst="rect">
                          <a:avLst/>
                        </a:prstGeom>
                        <a:solidFill>
                          <a:sysClr val="window" lastClr="FFFFFF"/>
                        </a:solidFill>
                        <a:ln w="6350">
                          <a:noFill/>
                        </a:ln>
                        <a:effectLst/>
                      </wps:spPr>
                      <wps:txb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left:0;text-align:left;margin-left:274.6pt;margin-top:-47.9pt;width:191.15pt;height:27.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" fillcolor="window" stroked="f" strokeweight=".5pt">
                <v:textbo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v:textbox>
              </v:shape>
            </w:pict>
          </mc:Fallback>
        </mc:AlternateContent>
      </w:r>
      <w:r w:rsidR="00670AA8">
        <w:rPr>
          <w:rFonts w:ascii="Calibri" w:eastAsia="Calibri" w:hAnsi="Calibri" w:cs="Calibri"/>
          <w:b/>
          <w:color w:val="244061" w:themeColor="accent1" w:themeShade="80"/>
          <w:sz w:val="32"/>
          <w:szCs w:val="32"/>
        </w:rPr>
        <w:t>A Vibrant, Sustainable Economy</w:t>
      </w:r>
    </w:p>
    <w:p w:rsidR="00670AA8" w:rsidRPr="00670AA8" w:rsidRDefault="00E523A6" w:rsidP="00742A00">
      <w:pPr>
        <w:autoSpaceDE w:val="0"/>
        <w:autoSpaceDN w:val="0"/>
        <w:adjustRightInd w:val="0"/>
        <w:jc w:val="both"/>
        <w:rPr>
          <w:rFonts w:ascii="Calibri" w:eastAsia="Calibri" w:hAnsi="Calibri" w:cs="Calibri"/>
          <w:b/>
          <w:color w:val="244061" w:themeColor="accent1" w:themeShade="80"/>
          <w:sz w:val="8"/>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58239" behindDoc="1" locked="0" layoutInCell="1" allowOverlap="1" wp14:anchorId="6160CCB2" wp14:editId="5999B323">
                <wp:simplePos x="0" y="0"/>
                <wp:positionH relativeFrom="column">
                  <wp:posOffset>-66675</wp:posOffset>
                </wp:positionH>
                <wp:positionV relativeFrom="paragraph">
                  <wp:posOffset>45085</wp:posOffset>
                </wp:positionV>
                <wp:extent cx="5857875" cy="1771650"/>
                <wp:effectExtent l="0" t="0" r="9525" b="0"/>
                <wp:wrapNone/>
                <wp:docPr id="20" name="Rectangle 20"/>
                <wp:cNvGraphicFramePr/>
                <a:graphic xmlns:a="http://schemas.openxmlformats.org/drawingml/2006/main">
                  <a:graphicData uri="http://schemas.microsoft.com/office/word/2010/wordprocessingShape">
                    <wps:wsp>
                      <wps:cNvSpPr/>
                      <wps:spPr>
                        <a:xfrm>
                          <a:off x="0" y="0"/>
                          <a:ext cx="5857875" cy="17716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25pt;margin-top:3.55pt;width:461.25pt;height: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" fillcolor="#daeef3 [664]" stroked="f" strokeweight="2pt"/>
            </w:pict>
          </mc:Fallback>
        </mc:AlternateContent>
      </w:r>
    </w:p>
    <w:p w:rsidR="00670AA8" w:rsidRPr="00DF405C" w:rsidRDefault="00670AA8" w:rsidP="00742A00">
      <w:pPr>
        <w:autoSpaceDE w:val="0"/>
        <w:autoSpaceDN w:val="0"/>
        <w:adjustRightInd w:val="0"/>
        <w:jc w:val="both"/>
        <w:rPr>
          <w:rFonts w:ascii="Calibri" w:eastAsia="Calibri" w:hAnsi="Calibri" w:cs="Calibri"/>
          <w:color w:val="244061" w:themeColor="accent1" w:themeShade="80"/>
        </w:rPr>
      </w:pPr>
      <w:r w:rsidRPr="00670AA8">
        <w:rPr>
          <w:rFonts w:ascii="Calibri" w:eastAsia="Calibri" w:hAnsi="Calibri" w:cs="Calibri"/>
          <w:b/>
          <w:color w:val="244061" w:themeColor="accent1" w:themeShade="80"/>
        </w:rPr>
        <w:t>Indicator 1:</w:t>
      </w:r>
      <w:r w:rsidR="00DF405C" w:rsidRPr="00670AA8">
        <w:rPr>
          <w:rFonts w:ascii="Calibri" w:eastAsia="Calibri" w:hAnsi="Calibri" w:cs="Calibri"/>
          <w:b/>
          <w:color w:val="244061" w:themeColor="accent1" w:themeShade="80"/>
        </w:rPr>
        <w:t xml:space="preserve"> EMPLOYMENT LAND SUPPLY</w:t>
      </w:r>
    </w:p>
    <w:p w:rsidR="00670AA8" w:rsidRPr="00670AA8" w:rsidRDefault="00670AA8" w:rsidP="00742A00">
      <w:pPr>
        <w:autoSpaceDE w:val="0"/>
        <w:autoSpaceDN w:val="0"/>
        <w:adjustRightInd w:val="0"/>
        <w:jc w:val="both"/>
        <w:rPr>
          <w:rFonts w:ascii="Calibri" w:eastAsia="Calibri" w:hAnsi="Calibri" w:cs="Calibri"/>
          <w:b/>
          <w:color w:val="244061" w:themeColor="accent1" w:themeShade="80"/>
          <w:sz w:val="10"/>
          <w:szCs w:val="22"/>
        </w:rPr>
      </w:pPr>
    </w:p>
    <w:p w:rsidR="00A10C36" w:rsidRDefault="00670AA8" w:rsidP="00742A00">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Target: Strengthen and diversify the economy and provide a range of employment opportunities</w:t>
      </w:r>
      <w:r w:rsidR="00DF405C">
        <w:rPr>
          <w:rFonts w:ascii="Calibri" w:eastAsia="Calibri" w:hAnsi="Calibri" w:cs="Calibri"/>
          <w:b/>
          <w:color w:val="244061" w:themeColor="accent1" w:themeShade="80"/>
          <w:sz w:val="22"/>
          <w:szCs w:val="22"/>
        </w:rPr>
        <w:t xml:space="preserve"> </w:t>
      </w:r>
      <w:r w:rsidR="00A10C36">
        <w:rPr>
          <w:rFonts w:ascii="Calibri" w:eastAsia="Calibri" w:hAnsi="Calibri" w:cs="Calibri"/>
          <w:b/>
          <w:color w:val="244061" w:themeColor="accent1" w:themeShade="80"/>
          <w:sz w:val="22"/>
          <w:szCs w:val="22"/>
        </w:rPr>
        <w:t xml:space="preserve">     </w:t>
      </w:r>
    </w:p>
    <w:p w:rsidR="00670AA8" w:rsidRPr="00ED365D" w:rsidRDefault="00DF405C" w:rsidP="00742A00">
      <w:pPr>
        <w:autoSpaceDE w:val="0"/>
        <w:autoSpaceDN w:val="0"/>
        <w:adjustRightInd w:val="0"/>
        <w:jc w:val="both"/>
        <w:rPr>
          <w:rFonts w:ascii="Calibri" w:eastAsia="Calibri" w:hAnsi="Calibri" w:cs="Calibri"/>
          <w:color w:val="244061" w:themeColor="accent1" w:themeShade="80"/>
          <w:sz w:val="22"/>
          <w:szCs w:val="22"/>
        </w:rPr>
      </w:pPr>
      <w:r w:rsidRPr="00ED365D">
        <w:rPr>
          <w:rFonts w:ascii="Calibri" w:eastAsia="Calibri" w:hAnsi="Calibri" w:cs="Calibri"/>
          <w:color w:val="244061" w:themeColor="accent1" w:themeShade="80"/>
          <w:sz w:val="20"/>
          <w:szCs w:val="22"/>
        </w:rPr>
        <w:t>(Oxford Core Strategy</w:t>
      </w:r>
      <w:r w:rsidR="00A10C36" w:rsidRPr="00ED365D">
        <w:rPr>
          <w:rFonts w:ascii="Calibri" w:eastAsia="Calibri" w:hAnsi="Calibri" w:cs="Calibri"/>
          <w:color w:val="244061" w:themeColor="accent1" w:themeShade="80"/>
          <w:sz w:val="20"/>
          <w:szCs w:val="22"/>
        </w:rPr>
        <w:t xml:space="preserve"> Policy CS27</w:t>
      </w:r>
      <w:r w:rsidRPr="00ED365D">
        <w:rPr>
          <w:rFonts w:ascii="Calibri" w:eastAsia="Calibri" w:hAnsi="Calibri" w:cs="Calibri"/>
          <w:color w:val="244061" w:themeColor="accent1" w:themeShade="80"/>
          <w:sz w:val="20"/>
          <w:szCs w:val="22"/>
        </w:rPr>
        <w:t>)</w:t>
      </w:r>
    </w:p>
    <w:p w:rsidR="00742A00" w:rsidRDefault="00742A00" w:rsidP="00742A00">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E523A6" w:rsidTr="00E523A6">
        <w:trPr>
          <w:trHeight w:val="218"/>
        </w:trPr>
        <w:tc>
          <w:tcPr>
            <w:tcW w:w="5420" w:type="dxa"/>
          </w:tcPr>
          <w:p w:rsidR="00E523A6" w:rsidRPr="00742A00" w:rsidRDefault="00E523A6" w:rsidP="00742A00">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E523A6" w:rsidRDefault="00E523A6" w:rsidP="00742A00">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E523A6" w:rsidTr="00E523A6">
        <w:tc>
          <w:tcPr>
            <w:tcW w:w="5420" w:type="dxa"/>
            <w:vMerge w:val="restart"/>
          </w:tcPr>
          <w:p w:rsidR="00E523A6" w:rsidRPr="00ED365D" w:rsidRDefault="00E523A6" w:rsidP="00E523A6">
            <w:pPr>
              <w:autoSpaceDE w:val="0"/>
              <w:autoSpaceDN w:val="0"/>
              <w:adjustRightInd w:val="0"/>
              <w:jc w:val="center"/>
              <w:rPr>
                <w:rFonts w:ascii="Calibri" w:eastAsia="Calibri" w:hAnsi="Calibri" w:cs="Calibri"/>
                <w:color w:val="244061" w:themeColor="accent1" w:themeShade="80"/>
                <w:sz w:val="8"/>
                <w:szCs w:val="8"/>
              </w:rPr>
            </w:pPr>
          </w:p>
          <w:p w:rsidR="00E523A6" w:rsidRDefault="00E523A6" w:rsidP="00E523A6">
            <w:pPr>
              <w:autoSpaceDE w:val="0"/>
              <w:autoSpaceDN w:val="0"/>
              <w:adjustRightInd w:val="0"/>
              <w:jc w:val="center"/>
              <w:rPr>
                <w:rFonts w:ascii="Calibri" w:eastAsia="Calibri" w:hAnsi="Calibri" w:cs="Calibri"/>
                <w:b/>
                <w:color w:val="244061" w:themeColor="accent1" w:themeShade="80"/>
                <w:sz w:val="12"/>
                <w:szCs w:val="12"/>
              </w:rPr>
            </w:pPr>
          </w:p>
          <w:p w:rsidR="00354A24" w:rsidRPr="00354A24" w:rsidRDefault="008E63C0" w:rsidP="00E523A6">
            <w:pPr>
              <w:autoSpaceDE w:val="0"/>
              <w:autoSpaceDN w:val="0"/>
              <w:adjustRightInd w:val="0"/>
              <w:jc w:val="center"/>
              <w:rPr>
                <w:rFonts w:ascii="Calibri" w:eastAsia="Calibri" w:hAnsi="Calibri" w:cs="Calibri"/>
                <w:b/>
                <w:color w:val="244061" w:themeColor="accent1" w:themeShade="80"/>
                <w:sz w:val="22"/>
                <w:szCs w:val="22"/>
              </w:rPr>
            </w:pPr>
            <w:r w:rsidRPr="000B530E">
              <w:rPr>
                <w:b/>
                <w:noProof/>
                <w:color w:val="3F4F21"/>
                <w:sz w:val="32"/>
                <w:szCs w:val="32"/>
                <w:lang w:eastAsia="en-GB"/>
              </w:rPr>
              <w:drawing>
                <wp:inline distT="0" distB="0" distL="0" distR="0" wp14:anchorId="787A23D2" wp14:editId="00BD34E4">
                  <wp:extent cx="1666875" cy="501917"/>
                  <wp:effectExtent l="0" t="0" r="0" b="0"/>
                  <wp:docPr id="226" name="Picture 226"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E523A6" w:rsidRDefault="00E523A6" w:rsidP="00E523A6">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E523A6" w:rsidRDefault="00E523A6" w:rsidP="00E523A6">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75A2BD35" wp14:editId="7F4184CD">
                  <wp:extent cx="1083945" cy="326390"/>
                  <wp:effectExtent l="0" t="0" r="1905" b="0"/>
                  <wp:docPr id="9" name="Picture 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E523A6" w:rsidRPr="00E523A6" w:rsidRDefault="00E523A6" w:rsidP="00742A00">
            <w:pPr>
              <w:autoSpaceDE w:val="0"/>
              <w:autoSpaceDN w:val="0"/>
              <w:adjustRightInd w:val="0"/>
              <w:jc w:val="center"/>
              <w:rPr>
                <w:rFonts w:ascii="Calibri" w:eastAsia="Calibri" w:hAnsi="Calibri" w:cs="Calibri"/>
                <w:b/>
                <w:color w:val="244061" w:themeColor="accent1" w:themeShade="80"/>
                <w:sz w:val="8"/>
                <w:szCs w:val="8"/>
              </w:rPr>
            </w:pPr>
          </w:p>
        </w:tc>
      </w:tr>
      <w:tr w:rsidR="00E523A6" w:rsidTr="00E523A6">
        <w:tc>
          <w:tcPr>
            <w:tcW w:w="5420" w:type="dxa"/>
            <w:vMerge/>
          </w:tcPr>
          <w:p w:rsidR="00E523A6" w:rsidRDefault="00E523A6" w:rsidP="00742A00">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E523A6" w:rsidRDefault="00E523A6" w:rsidP="00E523A6">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E523A6" w:rsidRDefault="00E523A6" w:rsidP="00E523A6">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0F909D18" wp14:editId="39E7557F">
                  <wp:extent cx="1083945" cy="326390"/>
                  <wp:effectExtent l="0" t="0" r="1905" b="0"/>
                  <wp:docPr id="19" name="Picture 1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742A00" w:rsidRDefault="00742A00" w:rsidP="00742A00">
      <w:pPr>
        <w:autoSpaceDE w:val="0"/>
        <w:autoSpaceDN w:val="0"/>
        <w:adjustRightInd w:val="0"/>
        <w:jc w:val="both"/>
        <w:rPr>
          <w:rFonts w:ascii="Calibri" w:eastAsia="Calibri" w:hAnsi="Calibri" w:cs="Calibri"/>
          <w:b/>
          <w:color w:val="244061" w:themeColor="accent1" w:themeShade="80"/>
          <w:sz w:val="22"/>
          <w:szCs w:val="22"/>
        </w:rPr>
      </w:pPr>
    </w:p>
    <w:p w:rsidR="00282FBB" w:rsidRDefault="00282FBB" w:rsidP="00742A00">
      <w:pPr>
        <w:autoSpaceDE w:val="0"/>
        <w:autoSpaceDN w:val="0"/>
        <w:adjustRightInd w:val="0"/>
        <w:jc w:val="both"/>
        <w:rPr>
          <w:rFonts w:ascii="Calibri" w:eastAsia="Calibri" w:hAnsi="Calibri" w:cs="Calibri"/>
          <w:b/>
          <w:color w:val="244061" w:themeColor="accent1" w:themeShade="80"/>
          <w:sz w:val="22"/>
          <w:szCs w:val="22"/>
        </w:rPr>
      </w:pPr>
    </w:p>
    <w:p w:rsidR="00C41D3B" w:rsidRDefault="00E7018D" w:rsidP="004335B5">
      <w:pPr>
        <w:numPr>
          <w:ilvl w:val="0"/>
          <w:numId w:val="8"/>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Employment sites allocated in </w:t>
      </w:r>
      <w:r w:rsidR="00197046">
        <w:rPr>
          <w:rFonts w:ascii="Calibri" w:eastAsia="Calibri" w:hAnsi="Calibri" w:cs="Times New Roman"/>
          <w:sz w:val="22"/>
          <w:szCs w:val="22"/>
        </w:rPr>
        <w:t xml:space="preserve">Oxford’s Local Development Plan provide a good supply of land to support economic growth up to 2026. Figure </w:t>
      </w:r>
      <w:r w:rsidR="00AF195F">
        <w:rPr>
          <w:rFonts w:ascii="Calibri" w:eastAsia="Calibri" w:hAnsi="Calibri" w:cs="Times New Roman"/>
          <w:sz w:val="22"/>
          <w:szCs w:val="22"/>
        </w:rPr>
        <w:t>1</w:t>
      </w:r>
      <w:r w:rsidR="00197046">
        <w:rPr>
          <w:rFonts w:ascii="Calibri" w:eastAsia="Calibri" w:hAnsi="Calibri" w:cs="Times New Roman"/>
          <w:sz w:val="22"/>
          <w:szCs w:val="22"/>
        </w:rPr>
        <w:t xml:space="preserve"> shows the am</w:t>
      </w:r>
      <w:r w:rsidR="00995D76">
        <w:rPr>
          <w:rFonts w:ascii="Calibri" w:eastAsia="Calibri" w:hAnsi="Calibri" w:cs="Times New Roman"/>
          <w:sz w:val="22"/>
          <w:szCs w:val="22"/>
        </w:rPr>
        <w:t xml:space="preserve">ount of employment land currently </w:t>
      </w:r>
      <w:r w:rsidR="00197046">
        <w:rPr>
          <w:rFonts w:ascii="Calibri" w:eastAsia="Calibri" w:hAnsi="Calibri" w:cs="Times New Roman"/>
          <w:sz w:val="22"/>
          <w:szCs w:val="22"/>
        </w:rPr>
        <w:t xml:space="preserve">available for </w:t>
      </w:r>
      <w:r w:rsidR="00F65C5D">
        <w:rPr>
          <w:rFonts w:ascii="Calibri" w:eastAsia="Calibri" w:hAnsi="Calibri" w:cs="Times New Roman"/>
          <w:sz w:val="22"/>
          <w:szCs w:val="22"/>
        </w:rPr>
        <w:t xml:space="preserve">employment </w:t>
      </w:r>
      <w:r w:rsidR="00197046">
        <w:rPr>
          <w:rFonts w:ascii="Calibri" w:eastAsia="Calibri" w:hAnsi="Calibri" w:cs="Times New Roman"/>
          <w:sz w:val="22"/>
          <w:szCs w:val="22"/>
        </w:rPr>
        <w:t>development</w:t>
      </w:r>
      <w:r w:rsidR="00995D76">
        <w:rPr>
          <w:rFonts w:ascii="Calibri" w:eastAsia="Calibri" w:hAnsi="Calibri" w:cs="Times New Roman"/>
          <w:sz w:val="22"/>
          <w:szCs w:val="22"/>
        </w:rPr>
        <w:t xml:space="preserve"> in Oxford.</w:t>
      </w:r>
      <w:r w:rsidR="00197046">
        <w:rPr>
          <w:rFonts w:ascii="Calibri" w:eastAsia="Calibri" w:hAnsi="Calibri" w:cs="Times New Roman"/>
          <w:sz w:val="22"/>
          <w:szCs w:val="22"/>
        </w:rPr>
        <w:t xml:space="preserve"> Estimates for the West End and Northern Gateway have been included in the totals column, although the breakdown between uses is unknown at present.</w:t>
      </w:r>
    </w:p>
    <w:tbl>
      <w:tblPr>
        <w:tblStyle w:val="TableGrid"/>
        <w:tblW w:w="0" w:type="auto"/>
        <w:tblInd w:w="36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300"/>
        <w:gridCol w:w="992"/>
        <w:gridCol w:w="709"/>
        <w:gridCol w:w="567"/>
        <w:gridCol w:w="1023"/>
        <w:gridCol w:w="1097"/>
        <w:gridCol w:w="1140"/>
        <w:gridCol w:w="1054"/>
      </w:tblGrid>
      <w:tr w:rsidR="00856641" w:rsidTr="005C674B">
        <w:tc>
          <w:tcPr>
            <w:tcW w:w="2300" w:type="dxa"/>
            <w:shd w:val="clear" w:color="auto" w:fill="DBE5F1" w:themeFill="accent1" w:themeFillTint="33"/>
          </w:tcPr>
          <w:p w:rsidR="00856641" w:rsidRPr="00856641" w:rsidRDefault="00856641" w:rsidP="00856641">
            <w:pPr>
              <w:jc w:val="center"/>
              <w:rPr>
                <w:rFonts w:ascii="Calibri" w:eastAsia="Calibri" w:hAnsi="Calibri" w:cs="Times New Roman"/>
                <w:color w:val="404040" w:themeColor="text1" w:themeTint="BF"/>
                <w:sz w:val="20"/>
                <w:szCs w:val="22"/>
              </w:rPr>
            </w:pPr>
            <w:r w:rsidRPr="00856641">
              <w:rPr>
                <w:rFonts w:ascii="Calibri" w:eastAsia="Calibri" w:hAnsi="Calibri" w:cs="Times New Roman"/>
                <w:b/>
                <w:color w:val="404040" w:themeColor="text1" w:themeTint="BF"/>
                <w:sz w:val="20"/>
                <w:szCs w:val="22"/>
              </w:rPr>
              <w:t>Employment Development Sites</w:t>
            </w:r>
          </w:p>
        </w:tc>
        <w:tc>
          <w:tcPr>
            <w:tcW w:w="992" w:type="dxa"/>
            <w:shd w:val="clear" w:color="auto" w:fill="DBE5F1" w:themeFill="accent1" w:themeFillTint="33"/>
          </w:tcPr>
          <w:p w:rsidR="00856641" w:rsidRPr="00856641" w:rsidRDefault="00856641" w:rsidP="00856641">
            <w:pPr>
              <w:jc w:val="center"/>
              <w:rPr>
                <w:rFonts w:asciiTheme="minorHAnsi" w:hAnsiTheme="minorHAnsi" w:cstheme="minorHAnsi"/>
                <w:b/>
                <w:color w:val="404040" w:themeColor="text1" w:themeTint="BF"/>
                <w:sz w:val="20"/>
              </w:rPr>
            </w:pPr>
            <w:r w:rsidRPr="00856641">
              <w:rPr>
                <w:rFonts w:asciiTheme="minorHAnsi" w:hAnsiTheme="minorHAnsi" w:cstheme="minorHAnsi"/>
                <w:b/>
                <w:color w:val="404040" w:themeColor="text1" w:themeTint="BF"/>
                <w:sz w:val="20"/>
              </w:rPr>
              <w:t>B1a</w:t>
            </w:r>
          </w:p>
          <w:p w:rsidR="00856641" w:rsidRPr="00856641" w:rsidRDefault="005C674B" w:rsidP="00856641">
            <w:pPr>
              <w:jc w:val="center"/>
              <w:rPr>
                <w:rFonts w:asciiTheme="minorHAnsi" w:hAnsiTheme="minorHAnsi" w:cstheme="minorHAnsi"/>
                <w:color w:val="404040" w:themeColor="text1" w:themeTint="BF"/>
                <w:sz w:val="20"/>
              </w:rPr>
            </w:pPr>
            <w:r w:rsidRPr="005C674B">
              <w:rPr>
                <w:rFonts w:asciiTheme="minorHAnsi" w:hAnsiTheme="minorHAnsi" w:cstheme="minorHAnsi"/>
                <w:color w:val="404040" w:themeColor="text1" w:themeTint="BF"/>
                <w:sz w:val="18"/>
              </w:rPr>
              <w:t>(O</w:t>
            </w:r>
            <w:r w:rsidR="00856641" w:rsidRPr="005C674B">
              <w:rPr>
                <w:rFonts w:asciiTheme="minorHAnsi" w:hAnsiTheme="minorHAnsi" w:cstheme="minorHAnsi"/>
                <w:color w:val="404040" w:themeColor="text1" w:themeTint="BF"/>
                <w:sz w:val="18"/>
              </w:rPr>
              <w:t>ffices)</w:t>
            </w:r>
          </w:p>
        </w:tc>
        <w:tc>
          <w:tcPr>
            <w:tcW w:w="1276" w:type="dxa"/>
            <w:gridSpan w:val="2"/>
            <w:shd w:val="clear" w:color="auto" w:fill="DBE5F1" w:themeFill="accent1" w:themeFillTint="33"/>
          </w:tcPr>
          <w:p w:rsidR="00856641" w:rsidRPr="00856641" w:rsidRDefault="00856641" w:rsidP="00856641">
            <w:pPr>
              <w:jc w:val="center"/>
              <w:rPr>
                <w:rFonts w:asciiTheme="minorHAnsi" w:hAnsiTheme="minorHAnsi" w:cstheme="minorHAnsi"/>
                <w:b/>
                <w:color w:val="404040" w:themeColor="text1" w:themeTint="BF"/>
                <w:sz w:val="20"/>
              </w:rPr>
            </w:pPr>
            <w:r w:rsidRPr="00856641">
              <w:rPr>
                <w:rFonts w:asciiTheme="minorHAnsi" w:hAnsiTheme="minorHAnsi" w:cstheme="minorHAnsi"/>
                <w:b/>
                <w:color w:val="404040" w:themeColor="text1" w:themeTint="BF"/>
                <w:sz w:val="20"/>
              </w:rPr>
              <w:t>B1b</w:t>
            </w:r>
          </w:p>
          <w:p w:rsidR="00856641" w:rsidRPr="00856641" w:rsidRDefault="005C674B" w:rsidP="00856641">
            <w:pPr>
              <w:jc w:val="center"/>
              <w:rPr>
                <w:rFonts w:asciiTheme="minorHAnsi" w:hAnsiTheme="minorHAnsi" w:cstheme="minorHAnsi"/>
                <w:color w:val="404040" w:themeColor="text1" w:themeTint="BF"/>
                <w:sz w:val="20"/>
              </w:rPr>
            </w:pPr>
            <w:r w:rsidRPr="005C674B">
              <w:rPr>
                <w:rFonts w:asciiTheme="minorHAnsi" w:hAnsiTheme="minorHAnsi" w:cstheme="minorHAnsi"/>
                <w:color w:val="404040" w:themeColor="text1" w:themeTint="BF"/>
                <w:sz w:val="18"/>
              </w:rPr>
              <w:t>(R</w:t>
            </w:r>
            <w:r w:rsidR="00856641" w:rsidRPr="005C674B">
              <w:rPr>
                <w:rFonts w:asciiTheme="minorHAnsi" w:hAnsiTheme="minorHAnsi" w:cstheme="minorHAnsi"/>
                <w:color w:val="404040" w:themeColor="text1" w:themeTint="BF"/>
                <w:sz w:val="18"/>
              </w:rPr>
              <w:t>esearch + development)</w:t>
            </w:r>
          </w:p>
        </w:tc>
        <w:tc>
          <w:tcPr>
            <w:tcW w:w="1023" w:type="dxa"/>
            <w:shd w:val="clear" w:color="auto" w:fill="DBE5F1" w:themeFill="accent1" w:themeFillTint="33"/>
          </w:tcPr>
          <w:p w:rsidR="00856641" w:rsidRPr="00856641" w:rsidRDefault="00856641" w:rsidP="00856641">
            <w:pPr>
              <w:jc w:val="center"/>
              <w:rPr>
                <w:rFonts w:asciiTheme="minorHAnsi" w:hAnsiTheme="minorHAnsi" w:cstheme="minorHAnsi"/>
                <w:b/>
                <w:color w:val="404040" w:themeColor="text1" w:themeTint="BF"/>
                <w:sz w:val="20"/>
              </w:rPr>
            </w:pPr>
            <w:r w:rsidRPr="00856641">
              <w:rPr>
                <w:rFonts w:asciiTheme="minorHAnsi" w:hAnsiTheme="minorHAnsi" w:cstheme="minorHAnsi"/>
                <w:b/>
                <w:color w:val="404040" w:themeColor="text1" w:themeTint="BF"/>
                <w:sz w:val="20"/>
              </w:rPr>
              <w:t>B1c</w:t>
            </w:r>
          </w:p>
          <w:p w:rsidR="00856641" w:rsidRPr="00856641" w:rsidRDefault="005C674B" w:rsidP="00856641">
            <w:pPr>
              <w:jc w:val="center"/>
              <w:rPr>
                <w:rFonts w:asciiTheme="minorHAnsi" w:hAnsiTheme="minorHAnsi" w:cstheme="minorHAnsi"/>
                <w:color w:val="404040" w:themeColor="text1" w:themeTint="BF"/>
                <w:sz w:val="20"/>
              </w:rPr>
            </w:pPr>
            <w:r w:rsidRPr="005C674B">
              <w:rPr>
                <w:rFonts w:asciiTheme="minorHAnsi" w:hAnsiTheme="minorHAnsi" w:cstheme="minorHAnsi"/>
                <w:color w:val="404040" w:themeColor="text1" w:themeTint="BF"/>
                <w:sz w:val="18"/>
              </w:rPr>
              <w:t>(L</w:t>
            </w:r>
            <w:r w:rsidR="00856641" w:rsidRPr="005C674B">
              <w:rPr>
                <w:rFonts w:asciiTheme="minorHAnsi" w:hAnsiTheme="minorHAnsi" w:cstheme="minorHAnsi"/>
                <w:color w:val="404040" w:themeColor="text1" w:themeTint="BF"/>
                <w:sz w:val="18"/>
              </w:rPr>
              <w:t>ight industry)</w:t>
            </w:r>
          </w:p>
        </w:tc>
        <w:tc>
          <w:tcPr>
            <w:tcW w:w="1097" w:type="dxa"/>
            <w:shd w:val="clear" w:color="auto" w:fill="DBE5F1" w:themeFill="accent1" w:themeFillTint="33"/>
          </w:tcPr>
          <w:p w:rsidR="00856641" w:rsidRPr="00856641" w:rsidRDefault="00856641" w:rsidP="00856641">
            <w:pPr>
              <w:jc w:val="center"/>
              <w:rPr>
                <w:rFonts w:asciiTheme="minorHAnsi" w:hAnsiTheme="minorHAnsi" w:cstheme="minorHAnsi"/>
                <w:b/>
                <w:color w:val="404040" w:themeColor="text1" w:themeTint="BF"/>
                <w:sz w:val="20"/>
              </w:rPr>
            </w:pPr>
            <w:r w:rsidRPr="00856641">
              <w:rPr>
                <w:rFonts w:asciiTheme="minorHAnsi" w:hAnsiTheme="minorHAnsi" w:cstheme="minorHAnsi"/>
                <w:b/>
                <w:color w:val="404040" w:themeColor="text1" w:themeTint="BF"/>
                <w:sz w:val="20"/>
              </w:rPr>
              <w:t>B2</w:t>
            </w:r>
          </w:p>
          <w:p w:rsidR="00856641" w:rsidRPr="00856641" w:rsidRDefault="005C674B" w:rsidP="00856641">
            <w:pPr>
              <w:jc w:val="center"/>
              <w:rPr>
                <w:rFonts w:asciiTheme="minorHAnsi" w:hAnsiTheme="minorHAnsi" w:cstheme="minorHAnsi"/>
                <w:color w:val="404040" w:themeColor="text1" w:themeTint="BF"/>
                <w:sz w:val="20"/>
              </w:rPr>
            </w:pPr>
            <w:r w:rsidRPr="005C674B">
              <w:rPr>
                <w:rFonts w:asciiTheme="minorHAnsi" w:hAnsiTheme="minorHAnsi" w:cstheme="minorHAnsi"/>
                <w:color w:val="404040" w:themeColor="text1" w:themeTint="BF"/>
                <w:sz w:val="18"/>
              </w:rPr>
              <w:t>(G</w:t>
            </w:r>
            <w:r w:rsidR="00856641" w:rsidRPr="005C674B">
              <w:rPr>
                <w:rFonts w:asciiTheme="minorHAnsi" w:hAnsiTheme="minorHAnsi" w:cstheme="minorHAnsi"/>
                <w:color w:val="404040" w:themeColor="text1" w:themeTint="BF"/>
                <w:sz w:val="18"/>
              </w:rPr>
              <w:t>eneral industry)</w:t>
            </w:r>
          </w:p>
        </w:tc>
        <w:tc>
          <w:tcPr>
            <w:tcW w:w="1140" w:type="dxa"/>
            <w:shd w:val="clear" w:color="auto" w:fill="DBE5F1" w:themeFill="accent1" w:themeFillTint="33"/>
          </w:tcPr>
          <w:p w:rsidR="00856641" w:rsidRPr="00856641" w:rsidRDefault="00856641" w:rsidP="00856641">
            <w:pPr>
              <w:jc w:val="center"/>
              <w:rPr>
                <w:rFonts w:asciiTheme="minorHAnsi" w:hAnsiTheme="minorHAnsi" w:cstheme="minorHAnsi"/>
                <w:b/>
                <w:color w:val="404040" w:themeColor="text1" w:themeTint="BF"/>
                <w:sz w:val="20"/>
              </w:rPr>
            </w:pPr>
            <w:r w:rsidRPr="00856641">
              <w:rPr>
                <w:rFonts w:asciiTheme="minorHAnsi" w:hAnsiTheme="minorHAnsi" w:cstheme="minorHAnsi"/>
                <w:b/>
                <w:color w:val="404040" w:themeColor="text1" w:themeTint="BF"/>
                <w:sz w:val="20"/>
              </w:rPr>
              <w:t>B8</w:t>
            </w:r>
          </w:p>
          <w:p w:rsidR="00856641" w:rsidRPr="00856641" w:rsidRDefault="005C674B" w:rsidP="00856641">
            <w:pPr>
              <w:jc w:val="center"/>
              <w:rPr>
                <w:rFonts w:asciiTheme="minorHAnsi" w:hAnsiTheme="minorHAnsi" w:cstheme="minorHAnsi"/>
                <w:color w:val="404040" w:themeColor="text1" w:themeTint="BF"/>
                <w:sz w:val="20"/>
              </w:rPr>
            </w:pPr>
            <w:r w:rsidRPr="005C674B">
              <w:rPr>
                <w:rFonts w:asciiTheme="minorHAnsi" w:hAnsiTheme="minorHAnsi" w:cstheme="minorHAnsi"/>
                <w:color w:val="404040" w:themeColor="text1" w:themeTint="BF"/>
                <w:sz w:val="18"/>
              </w:rPr>
              <w:t>(S</w:t>
            </w:r>
            <w:r w:rsidR="00856641" w:rsidRPr="005C674B">
              <w:rPr>
                <w:rFonts w:asciiTheme="minorHAnsi" w:hAnsiTheme="minorHAnsi" w:cstheme="minorHAnsi"/>
                <w:color w:val="404040" w:themeColor="text1" w:themeTint="BF"/>
                <w:sz w:val="18"/>
              </w:rPr>
              <w:t>torage or distribution)</w:t>
            </w:r>
          </w:p>
        </w:tc>
        <w:tc>
          <w:tcPr>
            <w:tcW w:w="1054" w:type="dxa"/>
            <w:shd w:val="clear" w:color="auto" w:fill="DBE5F1" w:themeFill="accent1" w:themeFillTint="33"/>
          </w:tcPr>
          <w:p w:rsidR="00856641" w:rsidRPr="00856641" w:rsidRDefault="00856641" w:rsidP="00856641">
            <w:pPr>
              <w:jc w:val="center"/>
              <w:rPr>
                <w:rFonts w:ascii="Calibri" w:eastAsia="Calibri" w:hAnsi="Calibri" w:cs="Times New Roman"/>
                <w:b/>
                <w:color w:val="595959" w:themeColor="text1" w:themeTint="A6"/>
                <w:sz w:val="20"/>
                <w:szCs w:val="22"/>
              </w:rPr>
            </w:pPr>
            <w:r w:rsidRPr="00856641">
              <w:rPr>
                <w:rFonts w:ascii="Calibri" w:eastAsia="Calibri" w:hAnsi="Calibri" w:cs="Times New Roman"/>
                <w:b/>
                <w:color w:val="404040" w:themeColor="text1" w:themeTint="BF"/>
                <w:sz w:val="20"/>
                <w:szCs w:val="22"/>
              </w:rPr>
              <w:t>Total</w:t>
            </w:r>
          </w:p>
        </w:tc>
      </w:tr>
      <w:tr w:rsidR="00856641" w:rsidRPr="00856641" w:rsidTr="005C674B">
        <w:tc>
          <w:tcPr>
            <w:tcW w:w="2300" w:type="dxa"/>
            <w:shd w:val="clear" w:color="auto" w:fill="DBE5F1" w:themeFill="accent1" w:themeFillTint="33"/>
          </w:tcPr>
          <w:p w:rsidR="00197046" w:rsidRPr="00856641" w:rsidRDefault="00856641" w:rsidP="00856641">
            <w:pPr>
              <w:rPr>
                <w:rFonts w:ascii="Calibri" w:eastAsia="Calibri" w:hAnsi="Calibri" w:cs="Times New Roman"/>
                <w:b/>
                <w:color w:val="404040" w:themeColor="text1" w:themeTint="BF"/>
                <w:sz w:val="20"/>
                <w:szCs w:val="22"/>
              </w:rPr>
            </w:pPr>
            <w:r w:rsidRPr="00856641">
              <w:rPr>
                <w:rFonts w:ascii="Calibri" w:eastAsia="Calibri" w:hAnsi="Calibri" w:cs="Times New Roman"/>
                <w:b/>
                <w:color w:val="404040" w:themeColor="text1" w:themeTint="BF"/>
                <w:sz w:val="20"/>
                <w:szCs w:val="22"/>
              </w:rPr>
              <w:t xml:space="preserve"> Sites and Housing Plan Allocated Sites </w:t>
            </w:r>
            <w:r w:rsidRPr="00F65C5D">
              <w:rPr>
                <w:rFonts w:ascii="Calibri" w:eastAsia="Calibri" w:hAnsi="Calibri" w:cs="Times New Roman"/>
                <w:color w:val="404040" w:themeColor="text1" w:themeTint="BF"/>
                <w:sz w:val="20"/>
                <w:szCs w:val="22"/>
              </w:rPr>
              <w:t>(ha)</w:t>
            </w:r>
          </w:p>
        </w:tc>
        <w:tc>
          <w:tcPr>
            <w:tcW w:w="992"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27.56</w:t>
            </w:r>
          </w:p>
        </w:tc>
        <w:tc>
          <w:tcPr>
            <w:tcW w:w="1276" w:type="dxa"/>
            <w:gridSpan w:val="2"/>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11.53</w:t>
            </w:r>
          </w:p>
        </w:tc>
        <w:tc>
          <w:tcPr>
            <w:tcW w:w="1023"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2.16</w:t>
            </w:r>
          </w:p>
        </w:tc>
        <w:tc>
          <w:tcPr>
            <w:tcW w:w="1097"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9.92</w:t>
            </w:r>
          </w:p>
        </w:tc>
        <w:tc>
          <w:tcPr>
            <w:tcW w:w="1140"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054" w:type="dxa"/>
          </w:tcPr>
          <w:p w:rsidR="00197046" w:rsidRPr="00545827" w:rsidRDefault="00F65C5D" w:rsidP="00F65C5D">
            <w:pPr>
              <w:spacing w:before="120"/>
              <w:jc w:val="center"/>
              <w:rPr>
                <w:rFonts w:ascii="Calibri" w:eastAsia="Calibri" w:hAnsi="Calibri" w:cs="Times New Roman"/>
                <w:b/>
                <w:color w:val="215868" w:themeColor="accent5" w:themeShade="80"/>
                <w:sz w:val="20"/>
                <w:szCs w:val="22"/>
              </w:rPr>
            </w:pPr>
            <w:r w:rsidRPr="00545827">
              <w:rPr>
                <w:rFonts w:ascii="Calibri" w:eastAsia="Calibri" w:hAnsi="Calibri" w:cs="Times New Roman"/>
                <w:b/>
                <w:color w:val="215868" w:themeColor="accent5" w:themeShade="80"/>
                <w:sz w:val="20"/>
                <w:szCs w:val="22"/>
              </w:rPr>
              <w:t>51.17</w:t>
            </w:r>
          </w:p>
        </w:tc>
      </w:tr>
      <w:tr w:rsidR="00856641" w:rsidRPr="00856641" w:rsidTr="005C674B">
        <w:tc>
          <w:tcPr>
            <w:tcW w:w="2300" w:type="dxa"/>
            <w:shd w:val="clear" w:color="auto" w:fill="DBE5F1" w:themeFill="accent1" w:themeFillTint="33"/>
          </w:tcPr>
          <w:p w:rsidR="00197046" w:rsidRPr="00856641" w:rsidRDefault="00856641" w:rsidP="00AF195F">
            <w:pPr>
              <w:rPr>
                <w:rFonts w:ascii="Calibri" w:eastAsia="Calibri" w:hAnsi="Calibri" w:cs="Times New Roman"/>
                <w:b/>
                <w:color w:val="404040" w:themeColor="text1" w:themeTint="BF"/>
                <w:sz w:val="20"/>
                <w:szCs w:val="22"/>
              </w:rPr>
            </w:pPr>
            <w:r w:rsidRPr="00856641">
              <w:rPr>
                <w:rFonts w:ascii="Calibri" w:eastAsia="Calibri" w:hAnsi="Calibri" w:cs="Times New Roman"/>
                <w:b/>
                <w:color w:val="404040" w:themeColor="text1" w:themeTint="BF"/>
                <w:sz w:val="20"/>
                <w:szCs w:val="22"/>
              </w:rPr>
              <w:t xml:space="preserve">West End and Northern Gateway </w:t>
            </w:r>
            <w:r w:rsidRPr="00F65C5D">
              <w:rPr>
                <w:rFonts w:ascii="Calibri" w:eastAsia="Calibri" w:hAnsi="Calibri" w:cs="Times New Roman"/>
                <w:color w:val="404040" w:themeColor="text1" w:themeTint="BF"/>
                <w:sz w:val="20"/>
                <w:szCs w:val="22"/>
              </w:rPr>
              <w:t>(ha)</w:t>
            </w:r>
          </w:p>
        </w:tc>
        <w:tc>
          <w:tcPr>
            <w:tcW w:w="992"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276" w:type="dxa"/>
            <w:gridSpan w:val="2"/>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023"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097"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140"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054" w:type="dxa"/>
          </w:tcPr>
          <w:p w:rsidR="00197046" w:rsidRPr="00545827" w:rsidRDefault="00F65C5D" w:rsidP="00F65C5D">
            <w:pPr>
              <w:spacing w:before="120"/>
              <w:jc w:val="center"/>
              <w:rPr>
                <w:rFonts w:ascii="Calibri" w:eastAsia="Calibri" w:hAnsi="Calibri" w:cs="Times New Roman"/>
                <w:b/>
                <w:color w:val="215868" w:themeColor="accent5" w:themeShade="80"/>
                <w:sz w:val="20"/>
                <w:szCs w:val="22"/>
              </w:rPr>
            </w:pPr>
            <w:r w:rsidRPr="00545827">
              <w:rPr>
                <w:rFonts w:ascii="Calibri" w:eastAsia="Calibri" w:hAnsi="Calibri" w:cs="Times New Roman"/>
                <w:b/>
                <w:color w:val="215868" w:themeColor="accent5" w:themeShade="80"/>
                <w:sz w:val="20"/>
                <w:szCs w:val="22"/>
              </w:rPr>
              <w:t>14.90</w:t>
            </w:r>
          </w:p>
        </w:tc>
      </w:tr>
      <w:tr w:rsidR="00856641" w:rsidRPr="00856641" w:rsidTr="005C674B">
        <w:tc>
          <w:tcPr>
            <w:tcW w:w="2300" w:type="dxa"/>
            <w:tcBorders>
              <w:bottom w:val="single" w:sz="4" w:space="0" w:color="215868" w:themeColor="accent5" w:themeShade="80"/>
            </w:tcBorders>
            <w:shd w:val="clear" w:color="auto" w:fill="DBE5F1" w:themeFill="accent1" w:themeFillTint="33"/>
          </w:tcPr>
          <w:p w:rsidR="00197046" w:rsidRPr="00856641" w:rsidRDefault="00856641" w:rsidP="00856641">
            <w:pPr>
              <w:rPr>
                <w:rFonts w:ascii="Calibri" w:eastAsia="Calibri" w:hAnsi="Calibri" w:cs="Times New Roman"/>
                <w:b/>
                <w:color w:val="404040" w:themeColor="text1" w:themeTint="BF"/>
                <w:sz w:val="20"/>
                <w:szCs w:val="22"/>
              </w:rPr>
            </w:pPr>
            <w:r w:rsidRPr="00856641">
              <w:rPr>
                <w:rFonts w:ascii="Calibri" w:eastAsia="Calibri" w:hAnsi="Calibri" w:cs="Times New Roman"/>
                <w:b/>
                <w:color w:val="404040" w:themeColor="text1" w:themeTint="BF"/>
                <w:sz w:val="20"/>
                <w:szCs w:val="22"/>
              </w:rPr>
              <w:t xml:space="preserve">Protected Key Employment Sites </w:t>
            </w:r>
            <w:r w:rsidRPr="00F65C5D">
              <w:rPr>
                <w:rFonts w:ascii="Calibri" w:eastAsia="Calibri" w:hAnsi="Calibri" w:cs="Times New Roman"/>
                <w:color w:val="404040" w:themeColor="text1" w:themeTint="BF"/>
                <w:sz w:val="20"/>
                <w:szCs w:val="22"/>
              </w:rPr>
              <w:t>(ha)</w:t>
            </w:r>
          </w:p>
        </w:tc>
        <w:tc>
          <w:tcPr>
            <w:tcW w:w="992" w:type="dxa"/>
            <w:tcBorders>
              <w:bottom w:val="single" w:sz="4" w:space="0" w:color="215868" w:themeColor="accent5" w:themeShade="80"/>
            </w:tcBorders>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27.81</w:t>
            </w:r>
          </w:p>
        </w:tc>
        <w:tc>
          <w:tcPr>
            <w:tcW w:w="1276" w:type="dxa"/>
            <w:gridSpan w:val="2"/>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w:t>
            </w:r>
          </w:p>
        </w:tc>
        <w:tc>
          <w:tcPr>
            <w:tcW w:w="1023"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26.01</w:t>
            </w:r>
          </w:p>
        </w:tc>
        <w:tc>
          <w:tcPr>
            <w:tcW w:w="1097"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109.56</w:t>
            </w:r>
          </w:p>
        </w:tc>
        <w:tc>
          <w:tcPr>
            <w:tcW w:w="1140" w:type="dxa"/>
          </w:tcPr>
          <w:p w:rsidR="00197046" w:rsidRPr="00545827" w:rsidRDefault="00F65C5D" w:rsidP="00F65C5D">
            <w:pPr>
              <w:spacing w:before="120"/>
              <w:jc w:val="center"/>
              <w:rPr>
                <w:rFonts w:ascii="Calibri" w:eastAsia="Calibri" w:hAnsi="Calibri" w:cs="Times New Roman"/>
                <w:color w:val="404040" w:themeColor="text1" w:themeTint="BF"/>
                <w:sz w:val="20"/>
                <w:szCs w:val="22"/>
              </w:rPr>
            </w:pPr>
            <w:r w:rsidRPr="00545827">
              <w:rPr>
                <w:rFonts w:ascii="Calibri" w:eastAsia="Calibri" w:hAnsi="Calibri" w:cs="Times New Roman"/>
                <w:color w:val="404040" w:themeColor="text1" w:themeTint="BF"/>
                <w:sz w:val="20"/>
                <w:szCs w:val="22"/>
              </w:rPr>
              <w:t>11.00</w:t>
            </w:r>
          </w:p>
        </w:tc>
        <w:tc>
          <w:tcPr>
            <w:tcW w:w="1054" w:type="dxa"/>
          </w:tcPr>
          <w:p w:rsidR="00197046" w:rsidRPr="00545827" w:rsidRDefault="00F65C5D" w:rsidP="00F65C5D">
            <w:pPr>
              <w:spacing w:before="120"/>
              <w:jc w:val="center"/>
              <w:rPr>
                <w:rFonts w:ascii="Calibri" w:eastAsia="Calibri" w:hAnsi="Calibri" w:cs="Times New Roman"/>
                <w:b/>
                <w:color w:val="215868" w:themeColor="accent5" w:themeShade="80"/>
                <w:sz w:val="20"/>
                <w:szCs w:val="22"/>
              </w:rPr>
            </w:pPr>
            <w:r w:rsidRPr="00545827">
              <w:rPr>
                <w:rFonts w:ascii="Calibri" w:eastAsia="Calibri" w:hAnsi="Calibri" w:cs="Times New Roman"/>
                <w:b/>
                <w:color w:val="215868" w:themeColor="accent5" w:themeShade="80"/>
                <w:sz w:val="20"/>
                <w:szCs w:val="22"/>
              </w:rPr>
              <w:t>174.38</w:t>
            </w:r>
          </w:p>
        </w:tc>
      </w:tr>
      <w:tr w:rsidR="00856641" w:rsidRPr="00856641" w:rsidTr="005C674B">
        <w:tc>
          <w:tcPr>
            <w:tcW w:w="4001" w:type="dxa"/>
            <w:gridSpan w:val="3"/>
            <w:tcBorders>
              <w:left w:val="nil"/>
              <w:bottom w:val="nil"/>
            </w:tcBorders>
          </w:tcPr>
          <w:p w:rsidR="00856641" w:rsidRPr="00545827" w:rsidRDefault="00856641" w:rsidP="00856641">
            <w:pPr>
              <w:jc w:val="center"/>
              <w:rPr>
                <w:rFonts w:ascii="Calibri" w:eastAsia="Calibri" w:hAnsi="Calibri" w:cs="Times New Roman"/>
                <w:color w:val="404040" w:themeColor="text1" w:themeTint="BF"/>
                <w:sz w:val="20"/>
                <w:szCs w:val="22"/>
              </w:rPr>
            </w:pPr>
          </w:p>
        </w:tc>
        <w:tc>
          <w:tcPr>
            <w:tcW w:w="3827" w:type="dxa"/>
            <w:gridSpan w:val="4"/>
            <w:shd w:val="clear" w:color="auto" w:fill="DBE5F1" w:themeFill="accent1" w:themeFillTint="33"/>
          </w:tcPr>
          <w:p w:rsidR="00856641" w:rsidRPr="00545827" w:rsidRDefault="00856641" w:rsidP="00AF195F">
            <w:pPr>
              <w:jc w:val="center"/>
              <w:rPr>
                <w:rFonts w:ascii="Calibri" w:eastAsia="Calibri" w:hAnsi="Calibri" w:cs="Times New Roman"/>
                <w:b/>
                <w:color w:val="404040" w:themeColor="text1" w:themeTint="BF"/>
                <w:sz w:val="20"/>
                <w:szCs w:val="22"/>
              </w:rPr>
            </w:pPr>
            <w:r w:rsidRPr="00545827">
              <w:rPr>
                <w:rFonts w:ascii="Calibri" w:eastAsia="Calibri" w:hAnsi="Calibri" w:cs="Times New Roman"/>
                <w:b/>
                <w:color w:val="404040" w:themeColor="text1" w:themeTint="BF"/>
                <w:sz w:val="20"/>
                <w:szCs w:val="22"/>
              </w:rPr>
              <w:t>Total Gross Employment Land Supply (ha)</w:t>
            </w:r>
          </w:p>
        </w:tc>
        <w:tc>
          <w:tcPr>
            <w:tcW w:w="1054" w:type="dxa"/>
            <w:shd w:val="clear" w:color="auto" w:fill="DBE5F1" w:themeFill="accent1" w:themeFillTint="33"/>
          </w:tcPr>
          <w:p w:rsidR="00856641" w:rsidRPr="00545827" w:rsidRDefault="00F65C5D" w:rsidP="00856641">
            <w:pPr>
              <w:jc w:val="center"/>
              <w:rPr>
                <w:rFonts w:ascii="Calibri" w:eastAsia="Calibri" w:hAnsi="Calibri" w:cs="Times New Roman"/>
                <w:b/>
                <w:color w:val="215868" w:themeColor="accent5" w:themeShade="80"/>
                <w:sz w:val="20"/>
                <w:szCs w:val="22"/>
              </w:rPr>
            </w:pPr>
            <w:r w:rsidRPr="00545827">
              <w:rPr>
                <w:rFonts w:ascii="Calibri" w:eastAsia="Calibri" w:hAnsi="Calibri" w:cs="Times New Roman"/>
                <w:b/>
                <w:color w:val="215868" w:themeColor="accent5" w:themeShade="80"/>
                <w:sz w:val="20"/>
                <w:szCs w:val="22"/>
              </w:rPr>
              <w:t>240.45</w:t>
            </w:r>
          </w:p>
        </w:tc>
      </w:tr>
    </w:tbl>
    <w:p w:rsidR="00AF195F" w:rsidRDefault="00AF195F" w:rsidP="00AF195F">
      <w:pPr>
        <w:autoSpaceDE w:val="0"/>
        <w:autoSpaceDN w:val="0"/>
        <w:adjustRightInd w:val="0"/>
        <w:jc w:val="center"/>
        <w:rPr>
          <w:rFonts w:ascii="Calibri" w:eastAsia="Calibri" w:hAnsi="Calibri" w:cs="Times New Roman"/>
          <w:color w:val="215868" w:themeColor="accent5" w:themeShade="80"/>
          <w:sz w:val="4"/>
          <w:szCs w:val="4"/>
        </w:rPr>
      </w:pPr>
    </w:p>
    <w:p w:rsidR="00282FBB" w:rsidRPr="00AF195F" w:rsidRDefault="00AF195F" w:rsidP="00AF195F">
      <w:pPr>
        <w:autoSpaceDE w:val="0"/>
        <w:autoSpaceDN w:val="0"/>
        <w:adjustRightInd w:val="0"/>
        <w:jc w:val="center"/>
        <w:rPr>
          <w:rFonts w:ascii="Calibri" w:eastAsia="Calibri" w:hAnsi="Calibri" w:cs="Calibri"/>
          <w:color w:val="000000"/>
          <w:sz w:val="20"/>
          <w:szCs w:val="22"/>
        </w:rPr>
      </w:pPr>
      <w:r w:rsidRPr="00AF195F">
        <w:rPr>
          <w:rFonts w:ascii="Calibri" w:eastAsia="Calibri" w:hAnsi="Calibri" w:cs="Calibri"/>
          <w:b/>
          <w:color w:val="000000"/>
          <w:sz w:val="20"/>
          <w:szCs w:val="22"/>
        </w:rPr>
        <w:t xml:space="preserve">Figure 1:  </w:t>
      </w:r>
      <w:r w:rsidR="00995D76">
        <w:rPr>
          <w:rFonts w:ascii="Calibri" w:eastAsia="Calibri" w:hAnsi="Calibri" w:cs="Calibri"/>
          <w:color w:val="000000"/>
          <w:sz w:val="20"/>
          <w:szCs w:val="22"/>
        </w:rPr>
        <w:t>Oxford’s e</w:t>
      </w:r>
      <w:r w:rsidRPr="00AF195F">
        <w:rPr>
          <w:rFonts w:ascii="Calibri" w:eastAsia="Calibri" w:hAnsi="Calibri" w:cs="Calibri"/>
          <w:color w:val="000000"/>
          <w:sz w:val="20"/>
          <w:szCs w:val="22"/>
        </w:rPr>
        <w:t>mployment</w:t>
      </w:r>
      <w:r w:rsidR="00995D76">
        <w:rPr>
          <w:rFonts w:ascii="Calibri" w:eastAsia="Calibri" w:hAnsi="Calibri" w:cs="Calibri"/>
          <w:color w:val="000000"/>
          <w:sz w:val="20"/>
          <w:szCs w:val="22"/>
        </w:rPr>
        <w:t xml:space="preserve"> land s</w:t>
      </w:r>
      <w:r w:rsidRPr="00AF195F">
        <w:rPr>
          <w:rFonts w:ascii="Calibri" w:eastAsia="Calibri" w:hAnsi="Calibri" w:cs="Calibri"/>
          <w:color w:val="000000"/>
          <w:sz w:val="20"/>
          <w:szCs w:val="22"/>
        </w:rPr>
        <w:t xml:space="preserve">upply up to 2026 </w:t>
      </w:r>
    </w:p>
    <w:p w:rsidR="00DF405C" w:rsidRDefault="00DF405C" w:rsidP="00DF405C">
      <w:pPr>
        <w:autoSpaceDE w:val="0"/>
        <w:autoSpaceDN w:val="0"/>
        <w:adjustRightInd w:val="0"/>
        <w:jc w:val="both"/>
        <w:rPr>
          <w:rFonts w:ascii="Calibri" w:eastAsia="Calibri" w:hAnsi="Calibri" w:cs="Calibri"/>
          <w:color w:val="000000"/>
          <w:sz w:val="22"/>
          <w:szCs w:val="22"/>
        </w:rPr>
      </w:pPr>
    </w:p>
    <w:p w:rsidR="000B3BAA" w:rsidRDefault="000B3BAA" w:rsidP="00DF405C">
      <w:pPr>
        <w:autoSpaceDE w:val="0"/>
        <w:autoSpaceDN w:val="0"/>
        <w:adjustRightInd w:val="0"/>
        <w:jc w:val="both"/>
        <w:rPr>
          <w:rFonts w:ascii="Calibri" w:eastAsia="Calibri" w:hAnsi="Calibri" w:cs="Calibri"/>
          <w:color w:val="000000"/>
          <w:sz w:val="22"/>
          <w:szCs w:val="22"/>
        </w:rPr>
      </w:pPr>
    </w:p>
    <w:p w:rsidR="00E523A6" w:rsidRPr="00DF405C" w:rsidRDefault="00ED365D" w:rsidP="00E523A6">
      <w:pPr>
        <w:autoSpaceDE w:val="0"/>
        <w:autoSpaceDN w:val="0"/>
        <w:adjustRightInd w:val="0"/>
        <w:jc w:val="both"/>
        <w:rPr>
          <w:rFonts w:ascii="Calibri" w:eastAsia="Calibri" w:hAnsi="Calibri" w:cs="Calibri"/>
          <w:color w:val="244061" w:themeColor="accent1" w:themeShade="80"/>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61312" behindDoc="1" locked="0" layoutInCell="1" allowOverlap="1" wp14:anchorId="7AC7B051" wp14:editId="59C402B1">
                <wp:simplePos x="0" y="0"/>
                <wp:positionH relativeFrom="column">
                  <wp:posOffset>-38100</wp:posOffset>
                </wp:positionH>
                <wp:positionV relativeFrom="paragraph">
                  <wp:posOffset>-3810</wp:posOffset>
                </wp:positionV>
                <wp:extent cx="5829300" cy="1743075"/>
                <wp:effectExtent l="0" t="0" r="0" b="9525"/>
                <wp:wrapNone/>
                <wp:docPr id="24" name="Rectangle 24"/>
                <wp:cNvGraphicFramePr/>
                <a:graphic xmlns:a="http://schemas.openxmlformats.org/drawingml/2006/main">
                  <a:graphicData uri="http://schemas.microsoft.com/office/word/2010/wordprocessingShape">
                    <wps:wsp>
                      <wps:cNvSpPr/>
                      <wps:spPr>
                        <a:xfrm>
                          <a:off x="0" y="0"/>
                          <a:ext cx="5829300" cy="174307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pt;margin-top:-.3pt;width:459pt;height:1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" fillcolor="#dbeef4" stroked="f" strokeweight="2pt"/>
            </w:pict>
          </mc:Fallback>
        </mc:AlternateContent>
      </w:r>
      <w:r w:rsidR="00E523A6" w:rsidRPr="00670AA8">
        <w:rPr>
          <w:rFonts w:ascii="Calibri" w:eastAsia="Calibri" w:hAnsi="Calibri" w:cs="Calibri"/>
          <w:b/>
          <w:color w:val="244061" w:themeColor="accent1" w:themeShade="80"/>
        </w:rPr>
        <w:t xml:space="preserve">Indicator </w:t>
      </w:r>
      <w:r w:rsidR="00E15027">
        <w:rPr>
          <w:rFonts w:ascii="Calibri" w:eastAsia="Calibri" w:hAnsi="Calibri" w:cs="Calibri"/>
          <w:b/>
          <w:color w:val="244061" w:themeColor="accent1" w:themeShade="80"/>
        </w:rPr>
        <w:t>2: EMPLOYMENT LAND</w:t>
      </w:r>
      <w:r w:rsidR="006D4F2E">
        <w:rPr>
          <w:rFonts w:ascii="Calibri" w:eastAsia="Calibri" w:hAnsi="Calibri" w:cs="Calibri"/>
          <w:b/>
          <w:color w:val="244061" w:themeColor="accent1" w:themeShade="80"/>
        </w:rPr>
        <w:t xml:space="preserve"> LOST TO OTHER USES</w:t>
      </w:r>
    </w:p>
    <w:p w:rsidR="00E523A6" w:rsidRPr="00670AA8" w:rsidRDefault="00E523A6" w:rsidP="00E523A6">
      <w:pPr>
        <w:autoSpaceDE w:val="0"/>
        <w:autoSpaceDN w:val="0"/>
        <w:adjustRightInd w:val="0"/>
        <w:jc w:val="both"/>
        <w:rPr>
          <w:rFonts w:ascii="Calibri" w:eastAsia="Calibri" w:hAnsi="Calibri" w:cs="Calibri"/>
          <w:b/>
          <w:color w:val="244061" w:themeColor="accent1" w:themeShade="80"/>
          <w:sz w:val="10"/>
          <w:szCs w:val="22"/>
        </w:rPr>
      </w:pPr>
    </w:p>
    <w:p w:rsidR="00ED365D" w:rsidRDefault="005E3086" w:rsidP="00E523A6">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Target: No loss of key protected employment sites</w:t>
      </w:r>
    </w:p>
    <w:p w:rsidR="00E523A6" w:rsidRDefault="00E523A6" w:rsidP="00E523A6">
      <w:pPr>
        <w:autoSpaceDE w:val="0"/>
        <w:autoSpaceDN w:val="0"/>
        <w:adjustRightInd w:val="0"/>
        <w:jc w:val="both"/>
        <w:rPr>
          <w:rFonts w:ascii="Calibri" w:eastAsia="Calibri" w:hAnsi="Calibri" w:cs="Calibri"/>
          <w:b/>
          <w:color w:val="244061" w:themeColor="accent1" w:themeShade="80"/>
          <w:sz w:val="22"/>
          <w:szCs w:val="22"/>
        </w:rPr>
      </w:pPr>
      <w:r w:rsidRPr="00ED365D">
        <w:rPr>
          <w:rFonts w:ascii="Calibri" w:eastAsia="Calibri" w:hAnsi="Calibri" w:cs="Calibri"/>
          <w:color w:val="244061" w:themeColor="accent1" w:themeShade="80"/>
          <w:sz w:val="20"/>
          <w:szCs w:val="22"/>
        </w:rPr>
        <w:t>(Oxford Core Strategy</w:t>
      </w:r>
      <w:r w:rsidR="00ED365D" w:rsidRPr="00ED365D">
        <w:rPr>
          <w:rFonts w:ascii="Calibri" w:eastAsia="Calibri" w:hAnsi="Calibri" w:cs="Calibri"/>
          <w:color w:val="244061" w:themeColor="accent1" w:themeShade="80"/>
          <w:sz w:val="20"/>
          <w:szCs w:val="22"/>
        </w:rPr>
        <w:t xml:space="preserve"> Policy CS28</w:t>
      </w:r>
      <w:r w:rsidRPr="00ED365D">
        <w:rPr>
          <w:rFonts w:ascii="Calibri" w:eastAsia="Calibri" w:hAnsi="Calibri" w:cs="Calibri"/>
          <w:color w:val="244061" w:themeColor="accent1" w:themeShade="80"/>
          <w:sz w:val="20"/>
          <w:szCs w:val="22"/>
        </w:rPr>
        <w:t>)</w:t>
      </w:r>
    </w:p>
    <w:p w:rsidR="00E523A6" w:rsidRDefault="00E523A6" w:rsidP="00E523A6">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E523A6" w:rsidTr="00682A91">
        <w:trPr>
          <w:trHeight w:val="218"/>
        </w:trPr>
        <w:tc>
          <w:tcPr>
            <w:tcW w:w="5420" w:type="dxa"/>
          </w:tcPr>
          <w:p w:rsidR="00E523A6" w:rsidRPr="00742A00" w:rsidRDefault="00E523A6"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E523A6" w:rsidRDefault="00E523A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E523A6" w:rsidTr="00682A91">
        <w:tc>
          <w:tcPr>
            <w:tcW w:w="5420" w:type="dxa"/>
            <w:vMerge w:val="restart"/>
          </w:tcPr>
          <w:p w:rsidR="00E523A6" w:rsidRPr="00E523A6" w:rsidRDefault="00E523A6" w:rsidP="00682A91">
            <w:pPr>
              <w:autoSpaceDE w:val="0"/>
              <w:autoSpaceDN w:val="0"/>
              <w:adjustRightInd w:val="0"/>
              <w:jc w:val="center"/>
              <w:rPr>
                <w:rFonts w:ascii="Calibri" w:eastAsia="Calibri" w:hAnsi="Calibri" w:cs="Calibri"/>
                <w:b/>
                <w:color w:val="244061" w:themeColor="accent1" w:themeShade="80"/>
                <w:sz w:val="8"/>
                <w:szCs w:val="8"/>
              </w:rPr>
            </w:pPr>
          </w:p>
          <w:p w:rsidR="00E523A6" w:rsidRPr="00742A00" w:rsidRDefault="00273B71" w:rsidP="00682A91">
            <w:pPr>
              <w:autoSpaceDE w:val="0"/>
              <w:autoSpaceDN w:val="0"/>
              <w:adjustRightInd w:val="0"/>
              <w:jc w:val="center"/>
              <w:rPr>
                <w:rFonts w:ascii="Calibri" w:eastAsia="Calibri" w:hAnsi="Calibri" w:cs="Calibri"/>
                <w:b/>
                <w:color w:val="244061" w:themeColor="accent1" w:themeShade="80"/>
                <w:sz w:val="12"/>
                <w:szCs w:val="12"/>
              </w:rPr>
            </w:pPr>
            <w:r w:rsidRPr="000B530E">
              <w:rPr>
                <w:b/>
                <w:noProof/>
                <w:color w:val="3F4F21"/>
                <w:sz w:val="32"/>
                <w:szCs w:val="32"/>
                <w:lang w:eastAsia="en-GB"/>
              </w:rPr>
              <w:drawing>
                <wp:inline distT="0" distB="0" distL="0" distR="0" wp14:anchorId="4FA83676" wp14:editId="033E37DE">
                  <wp:extent cx="1666875" cy="501917"/>
                  <wp:effectExtent l="0" t="0" r="0" b="0"/>
                  <wp:docPr id="74" name="Picture 7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E523A6" w:rsidRDefault="00E523A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E523A6" w:rsidRDefault="005E3086"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04F201D0" wp14:editId="533C4AF3">
                  <wp:extent cx="1085850" cy="338644"/>
                  <wp:effectExtent l="0" t="0" r="0" b="4445"/>
                  <wp:docPr id="25" name="Picture 25"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E523A6" w:rsidRPr="00E523A6" w:rsidRDefault="00E523A6" w:rsidP="00682A91">
            <w:pPr>
              <w:autoSpaceDE w:val="0"/>
              <w:autoSpaceDN w:val="0"/>
              <w:adjustRightInd w:val="0"/>
              <w:jc w:val="center"/>
              <w:rPr>
                <w:rFonts w:ascii="Calibri" w:eastAsia="Calibri" w:hAnsi="Calibri" w:cs="Calibri"/>
                <w:b/>
                <w:color w:val="244061" w:themeColor="accent1" w:themeShade="80"/>
                <w:sz w:val="8"/>
                <w:szCs w:val="8"/>
              </w:rPr>
            </w:pPr>
          </w:p>
        </w:tc>
      </w:tr>
      <w:tr w:rsidR="00E523A6" w:rsidTr="00682A91">
        <w:tc>
          <w:tcPr>
            <w:tcW w:w="5420" w:type="dxa"/>
            <w:vMerge/>
          </w:tcPr>
          <w:p w:rsidR="00E523A6" w:rsidRDefault="00E523A6"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E523A6" w:rsidRDefault="00E523A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E523A6" w:rsidRDefault="00E523A6"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4B143A91" wp14:editId="6217AD42">
                  <wp:extent cx="1085850" cy="326964"/>
                  <wp:effectExtent l="0" t="0" r="0" b="0"/>
                  <wp:docPr id="23" name="Picture 2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DF405C" w:rsidRDefault="00DF405C" w:rsidP="00DF405C">
      <w:pPr>
        <w:autoSpaceDE w:val="0"/>
        <w:autoSpaceDN w:val="0"/>
        <w:adjustRightInd w:val="0"/>
        <w:jc w:val="both"/>
        <w:rPr>
          <w:rFonts w:ascii="Calibri" w:eastAsia="Calibri" w:hAnsi="Calibri" w:cs="Calibri"/>
          <w:color w:val="000000"/>
          <w:sz w:val="22"/>
          <w:szCs w:val="22"/>
        </w:rPr>
      </w:pPr>
    </w:p>
    <w:p w:rsidR="00F65C5D" w:rsidRPr="00F65C5D" w:rsidRDefault="00AF743D" w:rsidP="004335B5">
      <w:pPr>
        <w:numPr>
          <w:ilvl w:val="0"/>
          <w:numId w:val="8"/>
        </w:numPr>
        <w:spacing w:after="200" w:line="276" w:lineRule="auto"/>
        <w:jc w:val="both"/>
        <w:rPr>
          <w:rFonts w:ascii="Calibri" w:eastAsia="Calibri" w:hAnsi="Calibri" w:cs="Times New Roman"/>
          <w:sz w:val="22"/>
          <w:szCs w:val="22"/>
        </w:rPr>
      </w:pPr>
      <w:r w:rsidRPr="00AF743D">
        <w:rPr>
          <w:rFonts w:ascii="Calibri" w:hAnsi="Calibri" w:cs="Calibri"/>
          <w:sz w:val="22"/>
        </w:rPr>
        <w:t xml:space="preserve">Employment land in Oxford has consistently been lost to other uses. It is important to monitor </w:t>
      </w:r>
      <w:r w:rsidR="00901791">
        <w:rPr>
          <w:rFonts w:ascii="Calibri" w:hAnsi="Calibri" w:cs="Calibri"/>
          <w:sz w:val="22"/>
        </w:rPr>
        <w:t>this</w:t>
      </w:r>
      <w:r w:rsidRPr="00AF743D">
        <w:rPr>
          <w:rFonts w:ascii="Calibri" w:hAnsi="Calibri" w:cs="Calibri"/>
          <w:sz w:val="22"/>
        </w:rPr>
        <w:t xml:space="preserve"> so that there is a regular</w:t>
      </w:r>
      <w:r w:rsidR="00F65C5D">
        <w:rPr>
          <w:rFonts w:ascii="Calibri" w:hAnsi="Calibri" w:cs="Calibri"/>
          <w:sz w:val="22"/>
        </w:rPr>
        <w:t>,</w:t>
      </w:r>
      <w:r w:rsidR="00995D76">
        <w:rPr>
          <w:rFonts w:ascii="Calibri" w:hAnsi="Calibri" w:cs="Calibri"/>
          <w:sz w:val="22"/>
        </w:rPr>
        <w:t xml:space="preserve"> up-to-</w:t>
      </w:r>
      <w:r w:rsidRPr="00AF743D">
        <w:rPr>
          <w:rFonts w:ascii="Calibri" w:hAnsi="Calibri" w:cs="Calibri"/>
          <w:sz w:val="22"/>
        </w:rPr>
        <w:t xml:space="preserve">date assessment of the amount of land available to deliver future economic growth. </w:t>
      </w:r>
    </w:p>
    <w:p w:rsidR="000B3BAA" w:rsidRPr="000B3BAA" w:rsidRDefault="00995D76" w:rsidP="004335B5">
      <w:pPr>
        <w:numPr>
          <w:ilvl w:val="0"/>
          <w:numId w:val="8"/>
        </w:numPr>
        <w:spacing w:after="200" w:line="276" w:lineRule="auto"/>
        <w:jc w:val="both"/>
        <w:rPr>
          <w:rFonts w:ascii="Calibri" w:eastAsia="Calibri" w:hAnsi="Calibri" w:cs="Times New Roman"/>
          <w:sz w:val="22"/>
          <w:szCs w:val="22"/>
        </w:rPr>
      </w:pPr>
      <w:r>
        <w:rPr>
          <w:rFonts w:ascii="Calibri" w:hAnsi="Calibri" w:cs="Calibri"/>
          <w:sz w:val="22"/>
        </w:rPr>
        <w:t>In the 2013/14 monitoring year there</w:t>
      </w:r>
      <w:r w:rsidR="00AF743D" w:rsidRPr="00AF743D">
        <w:rPr>
          <w:rFonts w:ascii="Calibri" w:hAnsi="Calibri" w:cs="Calibri"/>
          <w:sz w:val="22"/>
        </w:rPr>
        <w:t xml:space="preserve"> </w:t>
      </w:r>
      <w:r>
        <w:rPr>
          <w:rFonts w:ascii="Calibri" w:hAnsi="Calibri" w:cs="Calibri"/>
          <w:sz w:val="22"/>
        </w:rPr>
        <w:t>was only</w:t>
      </w:r>
      <w:r w:rsidR="00AF743D" w:rsidRPr="00AF743D">
        <w:rPr>
          <w:rFonts w:ascii="Calibri" w:hAnsi="Calibri" w:cs="Calibri"/>
          <w:sz w:val="22"/>
        </w:rPr>
        <w:t xml:space="preserve"> a relatively</w:t>
      </w:r>
      <w:r w:rsidR="00F65C5D">
        <w:rPr>
          <w:rFonts w:ascii="Calibri" w:hAnsi="Calibri" w:cs="Calibri"/>
          <w:sz w:val="22"/>
        </w:rPr>
        <w:t xml:space="preserve"> small loss of employment land,</w:t>
      </w:r>
      <w:r w:rsidR="00AF743D" w:rsidRPr="00AF743D">
        <w:rPr>
          <w:rFonts w:ascii="Calibri" w:hAnsi="Calibri" w:cs="Calibri"/>
          <w:sz w:val="22"/>
        </w:rPr>
        <w:t xml:space="preserve"> less than a fi</w:t>
      </w:r>
      <w:r w:rsidR="00AF743D">
        <w:rPr>
          <w:rFonts w:ascii="Calibri" w:hAnsi="Calibri" w:cs="Calibri"/>
          <w:sz w:val="22"/>
        </w:rPr>
        <w:t>fth of a hectare (0.17 ha)</w:t>
      </w:r>
      <w:r w:rsidR="00F65C5D">
        <w:rPr>
          <w:rFonts w:ascii="Calibri" w:hAnsi="Calibri" w:cs="Calibri"/>
          <w:sz w:val="22"/>
        </w:rPr>
        <w:t>. N</w:t>
      </w:r>
      <w:r w:rsidR="00901791">
        <w:rPr>
          <w:rFonts w:ascii="Calibri" w:hAnsi="Calibri" w:cs="Calibri"/>
          <w:sz w:val="22"/>
        </w:rPr>
        <w:t>o</w:t>
      </w:r>
      <w:r>
        <w:rPr>
          <w:rFonts w:ascii="Calibri" w:hAnsi="Calibri" w:cs="Calibri"/>
          <w:sz w:val="22"/>
        </w:rPr>
        <w:t>ne of the land lost was from a key protected employment site.</w:t>
      </w:r>
    </w:p>
    <w:p w:rsidR="009D4EB7" w:rsidRPr="009D4EB7" w:rsidRDefault="000B3BAA" w:rsidP="004335B5">
      <w:pPr>
        <w:numPr>
          <w:ilvl w:val="0"/>
          <w:numId w:val="8"/>
        </w:numPr>
        <w:spacing w:after="200" w:line="276" w:lineRule="auto"/>
        <w:jc w:val="both"/>
        <w:rPr>
          <w:rFonts w:ascii="Calibri" w:eastAsia="Calibri" w:hAnsi="Calibri" w:cs="Times New Roman"/>
          <w:sz w:val="22"/>
          <w:szCs w:val="22"/>
        </w:rPr>
      </w:pPr>
      <w:r>
        <w:rPr>
          <w:noProof/>
          <w:szCs w:val="32"/>
          <w:lang w:eastAsia="en-GB"/>
        </w:rPr>
        <w:lastRenderedPageBreak/>
        <mc:AlternateContent>
          <mc:Choice Requires="wps">
            <w:drawing>
              <wp:anchor distT="0" distB="0" distL="114300" distR="114300" simplePos="0" relativeHeight="251746304" behindDoc="0" locked="0" layoutInCell="1" allowOverlap="1" wp14:anchorId="415E9BFC" wp14:editId="6592F8AC">
                <wp:simplePos x="0" y="0"/>
                <wp:positionH relativeFrom="column">
                  <wp:posOffset>3458845</wp:posOffset>
                </wp:positionH>
                <wp:positionV relativeFrom="paragraph">
                  <wp:posOffset>-653415</wp:posOffset>
                </wp:positionV>
                <wp:extent cx="2427605" cy="3524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4" type="#_x0000_t202" style="position:absolute;left:0;text-align:left;margin-left:272.35pt;margin-top:-51.45pt;width:191.15pt;height:27.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" fillcolor="window" stroked="f" strokeweight=".5pt">
                <v:textbo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v:textbox>
              </v:shape>
            </w:pict>
          </mc:Fallback>
        </mc:AlternateContent>
      </w:r>
      <w:r w:rsidR="00AF743D">
        <w:rPr>
          <w:rFonts w:ascii="Calibri" w:hAnsi="Calibri" w:cs="Calibri"/>
          <w:sz w:val="22"/>
        </w:rPr>
        <w:t xml:space="preserve">It </w:t>
      </w:r>
      <w:r w:rsidR="00AF743D" w:rsidRPr="00AF743D">
        <w:rPr>
          <w:rFonts w:ascii="Calibri" w:hAnsi="Calibri" w:cs="Calibri"/>
          <w:sz w:val="22"/>
        </w:rPr>
        <w:t>is i</w:t>
      </w:r>
      <w:r>
        <w:rPr>
          <w:rFonts w:ascii="Calibri" w:hAnsi="Calibri" w:cs="Calibri"/>
          <w:sz w:val="22"/>
        </w:rPr>
        <w:t>nteresting to note that of the smal</w:t>
      </w:r>
      <w:r w:rsidR="00AF743D" w:rsidRPr="00AF743D">
        <w:rPr>
          <w:rFonts w:ascii="Calibri" w:hAnsi="Calibri" w:cs="Calibri"/>
          <w:sz w:val="22"/>
        </w:rPr>
        <w:t>l amount</w:t>
      </w:r>
      <w:r w:rsidR="00273B71">
        <w:rPr>
          <w:rFonts w:ascii="Calibri" w:hAnsi="Calibri" w:cs="Calibri"/>
          <w:sz w:val="22"/>
        </w:rPr>
        <w:t xml:space="preserve"> of employment land</w:t>
      </w:r>
      <w:r w:rsidR="00AF743D" w:rsidRPr="00AF743D">
        <w:rPr>
          <w:rFonts w:ascii="Calibri" w:hAnsi="Calibri" w:cs="Calibri"/>
          <w:sz w:val="22"/>
        </w:rPr>
        <w:t xml:space="preserve"> lost</w:t>
      </w:r>
      <w:r w:rsidR="00273B71">
        <w:rPr>
          <w:rFonts w:ascii="Calibri" w:hAnsi="Calibri" w:cs="Calibri"/>
          <w:sz w:val="22"/>
        </w:rPr>
        <w:t xml:space="preserve"> to other uses, the majority has been from B1</w:t>
      </w:r>
      <w:r w:rsidR="00AF743D" w:rsidRPr="00AF743D">
        <w:rPr>
          <w:rFonts w:ascii="Calibri" w:hAnsi="Calibri" w:cs="Calibri"/>
          <w:sz w:val="22"/>
        </w:rPr>
        <w:t>a (office</w:t>
      </w:r>
      <w:r>
        <w:rPr>
          <w:rFonts w:ascii="Calibri" w:hAnsi="Calibri" w:cs="Calibri"/>
          <w:sz w:val="22"/>
        </w:rPr>
        <w:t>) use. The Government</w:t>
      </w:r>
      <w:r w:rsidR="00AF743D" w:rsidRPr="00AF743D">
        <w:rPr>
          <w:rFonts w:ascii="Calibri" w:hAnsi="Calibri" w:cs="Calibri"/>
          <w:sz w:val="22"/>
        </w:rPr>
        <w:t xml:space="preserve"> introduced changes </w:t>
      </w:r>
      <w:r>
        <w:rPr>
          <w:rFonts w:ascii="Calibri" w:hAnsi="Calibri" w:cs="Calibri"/>
          <w:sz w:val="22"/>
        </w:rPr>
        <w:t>to</w:t>
      </w:r>
      <w:r w:rsidR="00AF743D" w:rsidRPr="00AF743D">
        <w:rPr>
          <w:rFonts w:ascii="Calibri" w:hAnsi="Calibri" w:cs="Calibri"/>
          <w:sz w:val="22"/>
        </w:rPr>
        <w:t xml:space="preserve"> ‘permitted development rights’ </w:t>
      </w:r>
      <w:r>
        <w:rPr>
          <w:rFonts w:ascii="Calibri" w:hAnsi="Calibri" w:cs="Calibri"/>
          <w:sz w:val="22"/>
        </w:rPr>
        <w:t>from 30</w:t>
      </w:r>
      <w:r w:rsidRPr="000B3BAA">
        <w:rPr>
          <w:rFonts w:ascii="Calibri" w:hAnsi="Calibri" w:cs="Calibri"/>
          <w:sz w:val="22"/>
          <w:vertAlign w:val="superscript"/>
        </w:rPr>
        <w:t>th</w:t>
      </w:r>
      <w:r>
        <w:rPr>
          <w:rFonts w:ascii="Calibri" w:hAnsi="Calibri" w:cs="Calibri"/>
          <w:sz w:val="22"/>
        </w:rPr>
        <w:t xml:space="preserve"> May 2013 </w:t>
      </w:r>
      <w:r w:rsidR="00AF743D" w:rsidRPr="00AF743D">
        <w:rPr>
          <w:rFonts w:ascii="Calibri" w:hAnsi="Calibri" w:cs="Calibri"/>
          <w:sz w:val="22"/>
        </w:rPr>
        <w:t xml:space="preserve">to allow </w:t>
      </w:r>
      <w:r w:rsidR="00354A24">
        <w:rPr>
          <w:rFonts w:ascii="Calibri" w:hAnsi="Calibri" w:cs="Calibri"/>
          <w:sz w:val="22"/>
        </w:rPr>
        <w:t>premises in B1a</w:t>
      </w:r>
      <w:r>
        <w:rPr>
          <w:rFonts w:ascii="Calibri" w:hAnsi="Calibri" w:cs="Calibri"/>
          <w:sz w:val="22"/>
        </w:rPr>
        <w:t xml:space="preserve"> office use</w:t>
      </w:r>
      <w:r w:rsidR="00AF743D" w:rsidRPr="00AF743D">
        <w:rPr>
          <w:rFonts w:ascii="Calibri" w:hAnsi="Calibri" w:cs="Calibri"/>
          <w:sz w:val="22"/>
        </w:rPr>
        <w:t xml:space="preserve"> to change to </w:t>
      </w:r>
      <w:r>
        <w:rPr>
          <w:rFonts w:ascii="Calibri" w:hAnsi="Calibri" w:cs="Calibri"/>
          <w:sz w:val="22"/>
        </w:rPr>
        <w:t xml:space="preserve">C3 </w:t>
      </w:r>
      <w:r w:rsidR="00AF743D" w:rsidRPr="00AF743D">
        <w:rPr>
          <w:rFonts w:ascii="Calibri" w:hAnsi="Calibri" w:cs="Calibri"/>
          <w:sz w:val="22"/>
        </w:rPr>
        <w:t>res</w:t>
      </w:r>
      <w:r>
        <w:rPr>
          <w:rFonts w:ascii="Calibri" w:hAnsi="Calibri" w:cs="Calibri"/>
          <w:sz w:val="22"/>
        </w:rPr>
        <w:t>idential under ‘prior approval’. The full impacts</w:t>
      </w:r>
      <w:r w:rsidR="00AF743D" w:rsidRPr="00AF743D">
        <w:rPr>
          <w:rFonts w:ascii="Calibri" w:hAnsi="Calibri" w:cs="Calibri"/>
          <w:sz w:val="22"/>
        </w:rPr>
        <w:t xml:space="preserve"> </w:t>
      </w:r>
      <w:r>
        <w:rPr>
          <w:rFonts w:ascii="Calibri" w:hAnsi="Calibri" w:cs="Calibri"/>
          <w:sz w:val="22"/>
        </w:rPr>
        <w:t>of this change are likely</w:t>
      </w:r>
      <w:r w:rsidR="00F65C5D">
        <w:rPr>
          <w:rFonts w:ascii="Calibri" w:hAnsi="Calibri" w:cs="Calibri"/>
          <w:sz w:val="22"/>
        </w:rPr>
        <w:t xml:space="preserve"> to be seen in</w:t>
      </w:r>
      <w:r>
        <w:rPr>
          <w:rFonts w:ascii="Calibri" w:hAnsi="Calibri" w:cs="Calibri"/>
          <w:sz w:val="22"/>
        </w:rPr>
        <w:t xml:space="preserve"> subsequent monitoring r</w:t>
      </w:r>
      <w:r w:rsidR="00AF743D">
        <w:rPr>
          <w:rFonts w:ascii="Calibri" w:hAnsi="Calibri" w:cs="Calibri"/>
          <w:sz w:val="22"/>
        </w:rPr>
        <w:t>eports.</w:t>
      </w:r>
      <w:r w:rsidR="00AF743D" w:rsidRPr="00AF743D">
        <w:rPr>
          <w:rFonts w:ascii="Calibri" w:hAnsi="Calibri" w:cs="Calibri"/>
          <w:sz w:val="22"/>
        </w:rPr>
        <w:t xml:space="preserve">  </w:t>
      </w:r>
    </w:p>
    <w:p w:rsidR="005E3086" w:rsidRPr="00DF405C" w:rsidRDefault="007C60D8" w:rsidP="005E3086">
      <w:pPr>
        <w:autoSpaceDE w:val="0"/>
        <w:autoSpaceDN w:val="0"/>
        <w:adjustRightInd w:val="0"/>
        <w:jc w:val="both"/>
        <w:rPr>
          <w:rFonts w:ascii="Calibri" w:eastAsia="Calibri" w:hAnsi="Calibri" w:cs="Calibri"/>
          <w:color w:val="244061" w:themeColor="accent1" w:themeShade="80"/>
        </w:rPr>
      </w:pPr>
      <w:r>
        <w:rPr>
          <w:noProof/>
          <w:color w:val="244061" w:themeColor="accent1" w:themeShade="80"/>
          <w:sz w:val="8"/>
          <w:lang w:eastAsia="en-GB"/>
        </w:rPr>
        <mc:AlternateContent>
          <mc:Choice Requires="wps">
            <w:drawing>
              <wp:anchor distT="0" distB="0" distL="114300" distR="114300" simplePos="0" relativeHeight="251663360" behindDoc="1" locked="0" layoutInCell="1" allowOverlap="1" wp14:anchorId="525ACE6D" wp14:editId="00AE13AD">
                <wp:simplePos x="0" y="0"/>
                <wp:positionH relativeFrom="column">
                  <wp:posOffset>-66040</wp:posOffset>
                </wp:positionH>
                <wp:positionV relativeFrom="paragraph">
                  <wp:posOffset>-41910</wp:posOffset>
                </wp:positionV>
                <wp:extent cx="5866130" cy="1781175"/>
                <wp:effectExtent l="0" t="0" r="1270" b="9525"/>
                <wp:wrapNone/>
                <wp:docPr id="31" name="Rectangle 31"/>
                <wp:cNvGraphicFramePr/>
                <a:graphic xmlns:a="http://schemas.openxmlformats.org/drawingml/2006/main">
                  <a:graphicData uri="http://schemas.microsoft.com/office/word/2010/wordprocessingShape">
                    <wps:wsp>
                      <wps:cNvSpPr/>
                      <wps:spPr>
                        <a:xfrm>
                          <a:off x="0" y="0"/>
                          <a:ext cx="5866130" cy="178117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5.2pt;margin-top:-3.3pt;width:461.9pt;height:14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" fillcolor="#dbeef4" stroked="f" strokeweight="2pt"/>
            </w:pict>
          </mc:Fallback>
        </mc:AlternateContent>
      </w:r>
      <w:r w:rsidR="005E3086" w:rsidRPr="00670AA8">
        <w:rPr>
          <w:rFonts w:ascii="Calibri" w:eastAsia="Calibri" w:hAnsi="Calibri" w:cs="Calibri"/>
          <w:b/>
          <w:color w:val="244061" w:themeColor="accent1" w:themeShade="80"/>
        </w:rPr>
        <w:t xml:space="preserve">Indicator </w:t>
      </w:r>
      <w:r w:rsidR="005E3086">
        <w:rPr>
          <w:rFonts w:ascii="Calibri" w:eastAsia="Calibri" w:hAnsi="Calibri" w:cs="Calibri"/>
          <w:b/>
          <w:color w:val="244061" w:themeColor="accent1" w:themeShade="80"/>
        </w:rPr>
        <w:t>3: EMPLOYMENT DEVELOPMENT ON PREVIOUSLY DEVELOPED LAND</w:t>
      </w:r>
    </w:p>
    <w:p w:rsidR="005E3086" w:rsidRPr="00670AA8" w:rsidRDefault="005E3086" w:rsidP="005E3086">
      <w:pPr>
        <w:autoSpaceDE w:val="0"/>
        <w:autoSpaceDN w:val="0"/>
        <w:adjustRightInd w:val="0"/>
        <w:jc w:val="both"/>
        <w:rPr>
          <w:rFonts w:ascii="Calibri" w:eastAsia="Calibri" w:hAnsi="Calibri" w:cs="Calibri"/>
          <w:b/>
          <w:color w:val="244061" w:themeColor="accent1" w:themeShade="80"/>
          <w:sz w:val="10"/>
          <w:szCs w:val="22"/>
        </w:rPr>
      </w:pPr>
    </w:p>
    <w:p w:rsidR="005E3086" w:rsidRPr="009D4EB7" w:rsidRDefault="005E3086" w:rsidP="005E3086">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No employment development on </w:t>
      </w:r>
      <w:proofErr w:type="gramStart"/>
      <w:r>
        <w:rPr>
          <w:rFonts w:ascii="Calibri" w:eastAsia="Calibri" w:hAnsi="Calibri" w:cs="Calibri"/>
          <w:b/>
          <w:color w:val="244061" w:themeColor="accent1" w:themeShade="80"/>
          <w:sz w:val="22"/>
          <w:szCs w:val="22"/>
        </w:rPr>
        <w:t>greenfield</w:t>
      </w:r>
      <w:proofErr w:type="gramEnd"/>
      <w:r>
        <w:rPr>
          <w:rFonts w:ascii="Calibri" w:eastAsia="Calibri" w:hAnsi="Calibri" w:cs="Calibri"/>
          <w:b/>
          <w:color w:val="244061" w:themeColor="accent1" w:themeShade="80"/>
          <w:sz w:val="22"/>
          <w:szCs w:val="22"/>
        </w:rPr>
        <w:t xml:space="preserve"> land unless</w:t>
      </w:r>
      <w:r w:rsidR="009D4EB7">
        <w:rPr>
          <w:rFonts w:ascii="Calibri" w:eastAsia="Calibri" w:hAnsi="Calibri" w:cs="Calibri"/>
          <w:b/>
          <w:color w:val="244061" w:themeColor="accent1" w:themeShade="80"/>
          <w:sz w:val="22"/>
          <w:szCs w:val="22"/>
        </w:rPr>
        <w:t xml:space="preserve"> it has been</w:t>
      </w:r>
      <w:r>
        <w:rPr>
          <w:rFonts w:ascii="Calibri" w:eastAsia="Calibri" w:hAnsi="Calibri" w:cs="Calibri"/>
          <w:b/>
          <w:color w:val="244061" w:themeColor="accent1" w:themeShade="80"/>
          <w:sz w:val="22"/>
          <w:szCs w:val="22"/>
        </w:rPr>
        <w:t xml:space="preserve"> specifically allocated</w:t>
      </w:r>
      <w:r w:rsidR="009D4EB7">
        <w:rPr>
          <w:rFonts w:ascii="Calibri" w:eastAsia="Calibri" w:hAnsi="Calibri" w:cs="Calibri"/>
          <w:b/>
          <w:color w:val="244061" w:themeColor="accent1" w:themeShade="80"/>
          <w:sz w:val="22"/>
          <w:szCs w:val="22"/>
        </w:rPr>
        <w:t xml:space="preserve"> for development </w:t>
      </w:r>
      <w:r w:rsidR="00A234AB">
        <w:rPr>
          <w:rFonts w:ascii="Calibri" w:eastAsia="Calibri" w:hAnsi="Calibri" w:cs="Calibri"/>
          <w:color w:val="244061" w:themeColor="accent1" w:themeShade="80"/>
          <w:sz w:val="20"/>
          <w:szCs w:val="22"/>
        </w:rPr>
        <w:t>(Oxford Core Strategy</w:t>
      </w:r>
      <w:r w:rsidR="00ED365D">
        <w:rPr>
          <w:rFonts w:ascii="Calibri" w:eastAsia="Calibri" w:hAnsi="Calibri" w:cs="Calibri"/>
          <w:color w:val="244061" w:themeColor="accent1" w:themeShade="80"/>
          <w:sz w:val="20"/>
          <w:szCs w:val="22"/>
        </w:rPr>
        <w:t xml:space="preserve"> Policy CS2</w:t>
      </w:r>
      <w:r w:rsidRPr="00ED365D">
        <w:rPr>
          <w:rFonts w:ascii="Calibri" w:eastAsia="Calibri" w:hAnsi="Calibri" w:cs="Calibri"/>
          <w:color w:val="244061" w:themeColor="accent1" w:themeShade="80"/>
          <w:sz w:val="20"/>
          <w:szCs w:val="22"/>
        </w:rPr>
        <w:t>)</w:t>
      </w:r>
    </w:p>
    <w:p w:rsidR="005E3086" w:rsidRPr="00EA6A1A" w:rsidRDefault="005E3086" w:rsidP="005E3086">
      <w:pPr>
        <w:autoSpaceDE w:val="0"/>
        <w:autoSpaceDN w:val="0"/>
        <w:adjustRightInd w:val="0"/>
        <w:jc w:val="both"/>
        <w:rPr>
          <w:rFonts w:ascii="Calibri" w:eastAsia="Calibri" w:hAnsi="Calibri" w:cs="Calibri"/>
          <w:b/>
          <w:color w:val="244061" w:themeColor="accent1" w:themeShade="80"/>
          <w:sz w:val="18"/>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5E3086" w:rsidTr="00682A91">
        <w:trPr>
          <w:trHeight w:val="218"/>
        </w:trPr>
        <w:tc>
          <w:tcPr>
            <w:tcW w:w="5420" w:type="dxa"/>
          </w:tcPr>
          <w:p w:rsidR="005E3086" w:rsidRPr="00742A00" w:rsidRDefault="005E3086"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5E3086" w:rsidRDefault="005E308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5E3086" w:rsidTr="00682A91">
        <w:tc>
          <w:tcPr>
            <w:tcW w:w="5420" w:type="dxa"/>
            <w:vMerge w:val="restart"/>
          </w:tcPr>
          <w:p w:rsidR="005E3086" w:rsidRPr="00E523A6" w:rsidRDefault="005E3086" w:rsidP="00682A91">
            <w:pPr>
              <w:autoSpaceDE w:val="0"/>
              <w:autoSpaceDN w:val="0"/>
              <w:adjustRightInd w:val="0"/>
              <w:jc w:val="center"/>
              <w:rPr>
                <w:rFonts w:ascii="Calibri" w:eastAsia="Calibri" w:hAnsi="Calibri" w:cs="Calibri"/>
                <w:b/>
                <w:color w:val="244061" w:themeColor="accent1" w:themeShade="80"/>
                <w:sz w:val="8"/>
                <w:szCs w:val="8"/>
              </w:rPr>
            </w:pPr>
          </w:p>
          <w:p w:rsidR="005E3086" w:rsidRDefault="00BD6A5A" w:rsidP="00682A91">
            <w:pPr>
              <w:autoSpaceDE w:val="0"/>
              <w:autoSpaceDN w:val="0"/>
              <w:adjustRightInd w:val="0"/>
              <w:jc w:val="center"/>
              <w:rPr>
                <w:rFonts w:ascii="Calibri" w:eastAsia="Calibri" w:hAnsi="Calibri" w:cs="Calibri"/>
                <w:b/>
                <w:color w:val="244061" w:themeColor="accent1" w:themeShade="80"/>
                <w:sz w:val="12"/>
                <w:szCs w:val="12"/>
              </w:rPr>
            </w:pPr>
            <w:r w:rsidRPr="000B530E">
              <w:rPr>
                <w:b/>
                <w:noProof/>
                <w:color w:val="3F4F21"/>
                <w:sz w:val="32"/>
                <w:szCs w:val="32"/>
                <w:lang w:eastAsia="en-GB"/>
              </w:rPr>
              <w:drawing>
                <wp:inline distT="0" distB="0" distL="0" distR="0" wp14:anchorId="313592CA" wp14:editId="6F4D1909">
                  <wp:extent cx="1666875" cy="501917"/>
                  <wp:effectExtent l="0" t="0" r="0" b="0"/>
                  <wp:docPr id="73" name="Picture 7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p w:rsidR="00147AD9" w:rsidRPr="00742A00" w:rsidRDefault="00147AD9" w:rsidP="00682A91">
            <w:pPr>
              <w:autoSpaceDE w:val="0"/>
              <w:autoSpaceDN w:val="0"/>
              <w:adjustRightInd w:val="0"/>
              <w:jc w:val="center"/>
              <w:rPr>
                <w:rFonts w:ascii="Calibri" w:eastAsia="Calibri" w:hAnsi="Calibri" w:cs="Calibri"/>
                <w:b/>
                <w:color w:val="244061" w:themeColor="accent1" w:themeShade="80"/>
                <w:sz w:val="12"/>
                <w:szCs w:val="12"/>
              </w:rPr>
            </w:pPr>
          </w:p>
        </w:tc>
        <w:tc>
          <w:tcPr>
            <w:tcW w:w="1101" w:type="dxa"/>
          </w:tcPr>
          <w:p w:rsidR="005E3086" w:rsidRDefault="005E308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5E3086" w:rsidRDefault="005E3086"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7BC668D0" wp14:editId="05AFE36F">
                  <wp:extent cx="1085850" cy="326964"/>
                  <wp:effectExtent l="0" t="0" r="0" b="0"/>
                  <wp:docPr id="32" name="Picture 3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5E3086" w:rsidRPr="00E523A6" w:rsidRDefault="005E3086" w:rsidP="00682A91">
            <w:pPr>
              <w:autoSpaceDE w:val="0"/>
              <w:autoSpaceDN w:val="0"/>
              <w:adjustRightInd w:val="0"/>
              <w:jc w:val="center"/>
              <w:rPr>
                <w:rFonts w:ascii="Calibri" w:eastAsia="Calibri" w:hAnsi="Calibri" w:cs="Calibri"/>
                <w:b/>
                <w:color w:val="244061" w:themeColor="accent1" w:themeShade="80"/>
                <w:sz w:val="8"/>
                <w:szCs w:val="8"/>
              </w:rPr>
            </w:pPr>
          </w:p>
        </w:tc>
      </w:tr>
      <w:tr w:rsidR="005E3086" w:rsidTr="00682A91">
        <w:tc>
          <w:tcPr>
            <w:tcW w:w="5420" w:type="dxa"/>
            <w:vMerge/>
          </w:tcPr>
          <w:p w:rsidR="005E3086" w:rsidRDefault="005E3086"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5E3086" w:rsidRDefault="005E3086"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5E3086" w:rsidRDefault="005E3086"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47B4D425" wp14:editId="7F3B5978">
                  <wp:extent cx="1085850" cy="326964"/>
                  <wp:effectExtent l="0" t="0" r="0" b="0"/>
                  <wp:docPr id="30" name="Picture 3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657BE0" w:rsidRDefault="00657BE0" w:rsidP="005E3086">
      <w:pPr>
        <w:autoSpaceDE w:val="0"/>
        <w:autoSpaceDN w:val="0"/>
        <w:adjustRightInd w:val="0"/>
        <w:jc w:val="both"/>
        <w:rPr>
          <w:rFonts w:ascii="Calibri" w:eastAsia="Calibri" w:hAnsi="Calibri" w:cs="Calibri"/>
          <w:color w:val="000000"/>
          <w:sz w:val="22"/>
          <w:szCs w:val="22"/>
        </w:rPr>
      </w:pPr>
    </w:p>
    <w:p w:rsidR="000B3BAA" w:rsidRPr="005E3086" w:rsidRDefault="000B3BAA" w:rsidP="005E3086">
      <w:pPr>
        <w:autoSpaceDE w:val="0"/>
        <w:autoSpaceDN w:val="0"/>
        <w:adjustRightInd w:val="0"/>
        <w:jc w:val="both"/>
        <w:rPr>
          <w:rFonts w:ascii="Calibri" w:eastAsia="Calibri" w:hAnsi="Calibri" w:cs="Calibri"/>
          <w:color w:val="000000"/>
          <w:sz w:val="22"/>
          <w:szCs w:val="22"/>
        </w:rPr>
      </w:pPr>
    </w:p>
    <w:tbl>
      <w:tblPr>
        <w:tblStyle w:val="TableGrid"/>
        <w:tblW w:w="0" w:type="auto"/>
        <w:tblLayout w:type="fixed"/>
        <w:tblLook w:val="04A0" w:firstRow="1" w:lastRow="0" w:firstColumn="1" w:lastColumn="0" w:noHBand="0" w:noVBand="1"/>
      </w:tblPr>
      <w:tblGrid>
        <w:gridCol w:w="2943"/>
        <w:gridCol w:w="1259"/>
        <w:gridCol w:w="1260"/>
        <w:gridCol w:w="1260"/>
        <w:gridCol w:w="1260"/>
        <w:gridCol w:w="1260"/>
      </w:tblGrid>
      <w:tr w:rsidR="00BD6A5A" w:rsidTr="00AF195F">
        <w:tc>
          <w:tcPr>
            <w:tcW w:w="2943" w:type="dxa"/>
            <w:tcBorders>
              <w:top w:val="nil"/>
              <w:left w:val="nil"/>
              <w:bottom w:val="single" w:sz="4" w:space="0" w:color="215868" w:themeColor="accent5" w:themeShade="80"/>
              <w:right w:val="single" w:sz="4" w:space="0" w:color="215868" w:themeColor="accent5" w:themeShade="80"/>
            </w:tcBorders>
          </w:tcPr>
          <w:p w:rsidR="00BD6A5A" w:rsidRDefault="00BD6A5A" w:rsidP="00B67D74">
            <w:pPr>
              <w:rPr>
                <w:rFonts w:asciiTheme="minorHAnsi" w:hAnsiTheme="minorHAnsi" w:cstheme="minorHAnsi"/>
                <w:color w:val="0D0D0D" w:themeColor="text1" w:themeTint="F2"/>
                <w:sz w:val="20"/>
              </w:rPr>
            </w:pPr>
          </w:p>
          <w:p w:rsidR="00EB1BD6" w:rsidRPr="00EB1BD6" w:rsidRDefault="00EB1BD6" w:rsidP="00B67D74">
            <w:pPr>
              <w:rPr>
                <w:rFonts w:asciiTheme="minorHAnsi" w:hAnsiTheme="minorHAnsi" w:cstheme="minorHAnsi"/>
                <w:color w:val="0D0D0D" w:themeColor="text1" w:themeTint="F2"/>
                <w:sz w:val="20"/>
              </w:rPr>
            </w:pPr>
          </w:p>
        </w:tc>
        <w:tc>
          <w:tcPr>
            <w:tcW w:w="125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BD6A5A" w:rsidRPr="00E7018D" w:rsidRDefault="00BD6A5A" w:rsidP="00B67D7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B1a</w:t>
            </w:r>
          </w:p>
          <w:p w:rsidR="00EB1BD6" w:rsidRPr="00E7018D" w:rsidRDefault="005C674B" w:rsidP="00B67D74">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18"/>
              </w:rPr>
              <w:t>(O</w:t>
            </w:r>
            <w:r w:rsidR="00EB1BD6" w:rsidRPr="00E7018D">
              <w:rPr>
                <w:rFonts w:asciiTheme="minorHAnsi" w:hAnsiTheme="minorHAnsi" w:cstheme="minorHAnsi"/>
                <w:color w:val="404040" w:themeColor="text1" w:themeTint="BF"/>
                <w:sz w:val="18"/>
              </w:rPr>
              <w:t>ffices)</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BD6A5A" w:rsidRPr="00E7018D" w:rsidRDefault="00BD6A5A" w:rsidP="00B67D7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B1b</w:t>
            </w:r>
          </w:p>
          <w:p w:rsidR="00EB1BD6" w:rsidRPr="00E7018D" w:rsidRDefault="005C674B" w:rsidP="00B67D74">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18"/>
              </w:rPr>
              <w:t>(R</w:t>
            </w:r>
            <w:r w:rsidR="00EB1BD6" w:rsidRPr="00E7018D">
              <w:rPr>
                <w:rFonts w:asciiTheme="minorHAnsi" w:hAnsiTheme="minorHAnsi" w:cstheme="minorHAnsi"/>
                <w:color w:val="404040" w:themeColor="text1" w:themeTint="BF"/>
                <w:sz w:val="18"/>
              </w:rPr>
              <w:t>esearch + development)</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BD6A5A" w:rsidRPr="00E7018D" w:rsidRDefault="00BD6A5A" w:rsidP="00B67D7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B1c</w:t>
            </w:r>
          </w:p>
          <w:p w:rsidR="00EB1BD6" w:rsidRPr="00E7018D" w:rsidRDefault="005C674B" w:rsidP="00B67D74">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18"/>
              </w:rPr>
              <w:t>(L</w:t>
            </w:r>
            <w:r w:rsidR="00EB1BD6" w:rsidRPr="00E7018D">
              <w:rPr>
                <w:rFonts w:asciiTheme="minorHAnsi" w:hAnsiTheme="minorHAnsi" w:cstheme="minorHAnsi"/>
                <w:color w:val="404040" w:themeColor="text1" w:themeTint="BF"/>
                <w:sz w:val="18"/>
              </w:rPr>
              <w:t>ight industry)</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BD6A5A" w:rsidRPr="00E7018D" w:rsidRDefault="00BD6A5A" w:rsidP="00B67D7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B2</w:t>
            </w:r>
          </w:p>
          <w:p w:rsidR="00EB1BD6" w:rsidRPr="00E7018D" w:rsidRDefault="005C674B" w:rsidP="00B67D74">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18"/>
              </w:rPr>
              <w:t>(G</w:t>
            </w:r>
            <w:r w:rsidR="00EB1BD6" w:rsidRPr="00E7018D">
              <w:rPr>
                <w:rFonts w:asciiTheme="minorHAnsi" w:hAnsiTheme="minorHAnsi" w:cstheme="minorHAnsi"/>
                <w:color w:val="404040" w:themeColor="text1" w:themeTint="BF"/>
                <w:sz w:val="18"/>
              </w:rPr>
              <w:t>eneral industry)</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BD6A5A" w:rsidRPr="00E7018D" w:rsidRDefault="00BD6A5A" w:rsidP="00B67D7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B8</w:t>
            </w:r>
          </w:p>
          <w:p w:rsidR="00EB1BD6" w:rsidRPr="00E7018D" w:rsidRDefault="005C674B" w:rsidP="00B67D74">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18"/>
              </w:rPr>
              <w:t>(S</w:t>
            </w:r>
            <w:r w:rsidR="00EB1BD6" w:rsidRPr="00E7018D">
              <w:rPr>
                <w:rFonts w:asciiTheme="minorHAnsi" w:hAnsiTheme="minorHAnsi" w:cstheme="minorHAnsi"/>
                <w:color w:val="404040" w:themeColor="text1" w:themeTint="BF"/>
                <w:sz w:val="18"/>
              </w:rPr>
              <w:t>torage or distribution)</w:t>
            </w:r>
          </w:p>
        </w:tc>
      </w:tr>
      <w:tr w:rsidR="00BD6A5A" w:rsidTr="00EB1BD6">
        <w:tc>
          <w:tcPr>
            <w:tcW w:w="2943"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BD6A5A" w:rsidRPr="00E7018D" w:rsidRDefault="00BD6A5A" w:rsidP="00B67D74">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Gross Employment Area (ha)</w:t>
            </w:r>
          </w:p>
        </w:tc>
        <w:tc>
          <w:tcPr>
            <w:tcW w:w="125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themeFill="background1"/>
          </w:tcPr>
          <w:p w:rsidR="00BD6A5A" w:rsidRPr="00E7018D" w:rsidRDefault="009A05DD"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1.1507</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0.0146</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r>
      <w:tr w:rsidR="00BD6A5A" w:rsidTr="00AF195F">
        <w:tc>
          <w:tcPr>
            <w:tcW w:w="2943"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BD6A5A" w:rsidP="00B67D74">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on previously developed land</w:t>
            </w:r>
          </w:p>
        </w:tc>
        <w:tc>
          <w:tcPr>
            <w:tcW w:w="125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9A05DD"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100%</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100%</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2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BD6A5A" w:rsidRPr="00E7018D" w:rsidRDefault="00BD6A5A" w:rsidP="00B67D74">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r>
    </w:tbl>
    <w:p w:rsidR="00BD6A5A" w:rsidRPr="00BD6A5A" w:rsidRDefault="00BD6A5A" w:rsidP="00BD6A5A">
      <w:pPr>
        <w:rPr>
          <w:rFonts w:asciiTheme="minorHAnsi" w:hAnsiTheme="minorHAnsi" w:cstheme="minorHAnsi"/>
          <w:sz w:val="6"/>
          <w:szCs w:val="18"/>
        </w:rPr>
      </w:pPr>
    </w:p>
    <w:p w:rsidR="00BD6A5A" w:rsidRPr="00AF195F" w:rsidRDefault="00AF195F" w:rsidP="00BD6A5A">
      <w:pPr>
        <w:jc w:val="center"/>
        <w:rPr>
          <w:rFonts w:asciiTheme="minorHAnsi" w:hAnsiTheme="minorHAnsi" w:cstheme="minorHAnsi"/>
          <w:sz w:val="20"/>
          <w:szCs w:val="18"/>
        </w:rPr>
      </w:pPr>
      <w:r w:rsidRPr="00AF195F">
        <w:rPr>
          <w:rFonts w:asciiTheme="minorHAnsi" w:hAnsiTheme="minorHAnsi" w:cstheme="minorHAnsi"/>
          <w:b/>
          <w:sz w:val="20"/>
          <w:szCs w:val="18"/>
        </w:rPr>
        <w:t xml:space="preserve">Figure </w:t>
      </w:r>
      <w:r w:rsidR="00BD6A5A" w:rsidRPr="00AF195F">
        <w:rPr>
          <w:rFonts w:asciiTheme="minorHAnsi" w:hAnsiTheme="minorHAnsi" w:cstheme="minorHAnsi"/>
          <w:b/>
          <w:sz w:val="20"/>
          <w:szCs w:val="18"/>
        </w:rPr>
        <w:t xml:space="preserve">2: </w:t>
      </w:r>
      <w:r w:rsidR="00147421" w:rsidRPr="00AF195F">
        <w:rPr>
          <w:rFonts w:asciiTheme="minorHAnsi" w:hAnsiTheme="minorHAnsi" w:cstheme="minorHAnsi"/>
          <w:sz w:val="20"/>
          <w:szCs w:val="18"/>
        </w:rPr>
        <w:t>Employment development</w:t>
      </w:r>
      <w:r w:rsidR="00BD6A5A" w:rsidRPr="00AF195F">
        <w:rPr>
          <w:rFonts w:asciiTheme="minorHAnsi" w:hAnsiTheme="minorHAnsi" w:cstheme="minorHAnsi"/>
          <w:sz w:val="20"/>
          <w:szCs w:val="18"/>
          <w:vertAlign w:val="superscript"/>
        </w:rPr>
        <w:t xml:space="preserve"> </w:t>
      </w:r>
      <w:r w:rsidR="00354A24">
        <w:rPr>
          <w:rFonts w:asciiTheme="minorHAnsi" w:hAnsiTheme="minorHAnsi" w:cstheme="minorHAnsi"/>
          <w:sz w:val="20"/>
          <w:szCs w:val="18"/>
        </w:rPr>
        <w:t>completed</w:t>
      </w:r>
      <w:r w:rsidR="00147421" w:rsidRPr="00AF195F">
        <w:rPr>
          <w:rFonts w:asciiTheme="minorHAnsi" w:hAnsiTheme="minorHAnsi" w:cstheme="minorHAnsi"/>
          <w:sz w:val="20"/>
          <w:szCs w:val="18"/>
        </w:rPr>
        <w:t xml:space="preserve"> on previously developed</w:t>
      </w:r>
      <w:r w:rsidR="00BD6A5A" w:rsidRPr="00AF195F">
        <w:rPr>
          <w:rFonts w:asciiTheme="minorHAnsi" w:hAnsiTheme="minorHAnsi" w:cstheme="minorHAnsi"/>
          <w:sz w:val="20"/>
          <w:szCs w:val="18"/>
        </w:rPr>
        <w:t xml:space="preserve"> land in 2013/14</w:t>
      </w:r>
    </w:p>
    <w:p w:rsidR="00544710" w:rsidRDefault="00544710" w:rsidP="00544710">
      <w:pPr>
        <w:autoSpaceDE w:val="0"/>
        <w:autoSpaceDN w:val="0"/>
        <w:adjustRightInd w:val="0"/>
        <w:jc w:val="both"/>
        <w:rPr>
          <w:rFonts w:ascii="Calibri" w:eastAsia="Calibri" w:hAnsi="Calibri" w:cs="Calibri"/>
          <w:color w:val="000000"/>
          <w:sz w:val="22"/>
          <w:szCs w:val="22"/>
        </w:rPr>
      </w:pPr>
    </w:p>
    <w:p w:rsidR="000B3BAA" w:rsidRPr="00901791" w:rsidRDefault="00901791" w:rsidP="004335B5">
      <w:pPr>
        <w:numPr>
          <w:ilvl w:val="0"/>
          <w:numId w:val="8"/>
        </w:numPr>
        <w:spacing w:after="200" w:line="276" w:lineRule="auto"/>
        <w:jc w:val="both"/>
        <w:rPr>
          <w:rFonts w:ascii="Calibri" w:eastAsia="Calibri" w:hAnsi="Calibri" w:cs="Times New Roman"/>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65408" behindDoc="1" locked="0" layoutInCell="1" allowOverlap="1" wp14:anchorId="22E43C1E" wp14:editId="28E3178D">
                <wp:simplePos x="0" y="0"/>
                <wp:positionH relativeFrom="column">
                  <wp:posOffset>-66675</wp:posOffset>
                </wp:positionH>
                <wp:positionV relativeFrom="paragraph">
                  <wp:posOffset>1051560</wp:posOffset>
                </wp:positionV>
                <wp:extent cx="5866130" cy="1762125"/>
                <wp:effectExtent l="0" t="0" r="1270" b="9525"/>
                <wp:wrapNone/>
                <wp:docPr id="36" name="Rectangle 36"/>
                <wp:cNvGraphicFramePr/>
                <a:graphic xmlns:a="http://schemas.openxmlformats.org/drawingml/2006/main">
                  <a:graphicData uri="http://schemas.microsoft.com/office/word/2010/wordprocessingShape">
                    <wps:wsp>
                      <wps:cNvSpPr/>
                      <wps:spPr>
                        <a:xfrm>
                          <a:off x="0" y="0"/>
                          <a:ext cx="5866130" cy="176212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5.25pt;margin-top:82.8pt;width:461.9pt;height:1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" fillcolor="#dbeef4" stroked="f" strokeweight="2pt"/>
            </w:pict>
          </mc:Fallback>
        </mc:AlternateContent>
      </w:r>
      <w:r w:rsidR="00AF195F">
        <w:rPr>
          <w:rFonts w:ascii="Calibri" w:eastAsia="Calibri" w:hAnsi="Calibri" w:cs="Calibri"/>
          <w:color w:val="000000"/>
          <w:sz w:val="22"/>
          <w:szCs w:val="22"/>
        </w:rPr>
        <w:t xml:space="preserve">Figure </w:t>
      </w:r>
      <w:r w:rsidR="00BD6A5A" w:rsidRPr="009E261E">
        <w:rPr>
          <w:rFonts w:ascii="Calibri" w:eastAsia="Calibri" w:hAnsi="Calibri" w:cs="Calibri"/>
          <w:color w:val="000000"/>
          <w:sz w:val="22"/>
          <w:szCs w:val="22"/>
        </w:rPr>
        <w:t>2 shows</w:t>
      </w:r>
      <w:r w:rsidR="009D4EB7">
        <w:rPr>
          <w:rFonts w:ascii="Calibri" w:eastAsia="Calibri" w:hAnsi="Calibri" w:cs="Calibri"/>
          <w:color w:val="000000"/>
          <w:sz w:val="22"/>
          <w:szCs w:val="22"/>
        </w:rPr>
        <w:t>, that</w:t>
      </w:r>
      <w:r w:rsidR="00BD6A5A" w:rsidRPr="009E261E">
        <w:rPr>
          <w:rFonts w:ascii="Calibri" w:eastAsia="Calibri" w:hAnsi="Calibri" w:cs="Calibri"/>
          <w:color w:val="000000"/>
          <w:sz w:val="22"/>
          <w:szCs w:val="22"/>
        </w:rPr>
        <w:t xml:space="preserve"> </w:t>
      </w:r>
      <w:r w:rsidR="00EA6A1A">
        <w:rPr>
          <w:rFonts w:ascii="Calibri" w:eastAsia="Calibri" w:hAnsi="Calibri" w:cs="Calibri"/>
          <w:color w:val="000000"/>
          <w:sz w:val="22"/>
          <w:szCs w:val="22"/>
        </w:rPr>
        <w:t>of the</w:t>
      </w:r>
      <w:r w:rsidR="00BD6A5A" w:rsidRPr="009E261E">
        <w:rPr>
          <w:rFonts w:ascii="Calibri" w:eastAsia="Calibri" w:hAnsi="Calibri" w:cs="Calibri"/>
          <w:color w:val="000000"/>
          <w:sz w:val="22"/>
          <w:szCs w:val="22"/>
        </w:rPr>
        <w:t xml:space="preserve"> small amo</w:t>
      </w:r>
      <w:r w:rsidR="00147421">
        <w:rPr>
          <w:rFonts w:ascii="Calibri" w:eastAsia="Calibri" w:hAnsi="Calibri" w:cs="Calibri"/>
          <w:color w:val="000000"/>
          <w:sz w:val="22"/>
          <w:szCs w:val="22"/>
        </w:rPr>
        <w:t xml:space="preserve">unt of employment development </w:t>
      </w:r>
      <w:r w:rsidR="00EA6A1A">
        <w:rPr>
          <w:rFonts w:ascii="Calibri" w:eastAsia="Calibri" w:hAnsi="Calibri" w:cs="Calibri"/>
          <w:color w:val="000000"/>
          <w:sz w:val="22"/>
          <w:szCs w:val="22"/>
        </w:rPr>
        <w:t xml:space="preserve">that </w:t>
      </w:r>
      <w:r w:rsidR="00147421">
        <w:rPr>
          <w:rFonts w:ascii="Calibri" w:eastAsia="Calibri" w:hAnsi="Calibri" w:cs="Calibri"/>
          <w:color w:val="000000"/>
          <w:sz w:val="22"/>
          <w:szCs w:val="22"/>
        </w:rPr>
        <w:t>was completed</w:t>
      </w:r>
      <w:r w:rsidR="000B3BAA">
        <w:rPr>
          <w:rFonts w:ascii="Calibri" w:eastAsia="Calibri" w:hAnsi="Calibri" w:cs="Calibri"/>
          <w:color w:val="000000"/>
          <w:sz w:val="22"/>
          <w:szCs w:val="22"/>
        </w:rPr>
        <w:t xml:space="preserve"> during the</w:t>
      </w:r>
      <w:r w:rsidR="00BD6A5A" w:rsidRPr="009E261E">
        <w:rPr>
          <w:rFonts w:ascii="Calibri" w:eastAsia="Calibri" w:hAnsi="Calibri" w:cs="Calibri"/>
          <w:color w:val="000000"/>
          <w:sz w:val="22"/>
          <w:szCs w:val="22"/>
        </w:rPr>
        <w:t xml:space="preserve"> monitoring year</w:t>
      </w:r>
      <w:r w:rsidR="00EA6A1A">
        <w:rPr>
          <w:rFonts w:ascii="Calibri" w:eastAsia="Calibri" w:hAnsi="Calibri" w:cs="Calibri"/>
          <w:color w:val="000000"/>
          <w:sz w:val="22"/>
          <w:szCs w:val="22"/>
        </w:rPr>
        <w:t>,</w:t>
      </w:r>
      <w:r w:rsidR="000B3BAA">
        <w:rPr>
          <w:rFonts w:ascii="Calibri" w:eastAsia="Calibri" w:hAnsi="Calibri" w:cs="Calibri"/>
          <w:color w:val="000000"/>
          <w:sz w:val="22"/>
          <w:szCs w:val="22"/>
        </w:rPr>
        <w:t xml:space="preserve"> all </w:t>
      </w:r>
      <w:proofErr w:type="gramStart"/>
      <w:r w:rsidR="00EA6A1A">
        <w:rPr>
          <w:rFonts w:ascii="Calibri" w:eastAsia="Calibri" w:hAnsi="Calibri" w:cs="Calibri"/>
          <w:color w:val="000000"/>
          <w:sz w:val="22"/>
          <w:szCs w:val="22"/>
        </w:rPr>
        <w:t>was</w:t>
      </w:r>
      <w:proofErr w:type="gramEnd"/>
      <w:r w:rsidR="00354A24">
        <w:rPr>
          <w:rFonts w:ascii="Calibri" w:eastAsia="Calibri" w:hAnsi="Calibri" w:cs="Calibri"/>
          <w:color w:val="000000"/>
          <w:sz w:val="22"/>
          <w:szCs w:val="22"/>
        </w:rPr>
        <w:t xml:space="preserve"> located</w:t>
      </w:r>
      <w:r w:rsidR="00147421">
        <w:rPr>
          <w:rFonts w:ascii="Calibri" w:eastAsia="Calibri" w:hAnsi="Calibri" w:cs="Calibri"/>
          <w:color w:val="000000"/>
          <w:sz w:val="22"/>
          <w:szCs w:val="22"/>
        </w:rPr>
        <w:t xml:space="preserve"> on </w:t>
      </w:r>
      <w:r w:rsidR="00BD6A5A" w:rsidRPr="009E261E">
        <w:rPr>
          <w:rFonts w:ascii="Calibri" w:eastAsia="Calibri" w:hAnsi="Calibri" w:cs="Calibri"/>
          <w:color w:val="000000"/>
          <w:sz w:val="22"/>
          <w:szCs w:val="22"/>
        </w:rPr>
        <w:t>previously developed land. This indicator show</w:t>
      </w:r>
      <w:r w:rsidR="006D4F2E">
        <w:rPr>
          <w:rFonts w:ascii="Calibri" w:eastAsia="Calibri" w:hAnsi="Calibri" w:cs="Calibri"/>
          <w:color w:val="000000"/>
          <w:sz w:val="22"/>
          <w:szCs w:val="22"/>
        </w:rPr>
        <w:t>s</w:t>
      </w:r>
      <w:r w:rsidR="00BD6A5A" w:rsidRPr="009E261E">
        <w:rPr>
          <w:rFonts w:ascii="Calibri" w:eastAsia="Calibri" w:hAnsi="Calibri" w:cs="Calibri"/>
          <w:color w:val="000000"/>
          <w:sz w:val="22"/>
          <w:szCs w:val="22"/>
        </w:rPr>
        <w:t xml:space="preserve"> that the focus for employment development continues to be on brownfield land. This is positive and in accordance with the policies in Oxford’s Local </w:t>
      </w:r>
      <w:r w:rsidR="00354A24">
        <w:rPr>
          <w:rFonts w:ascii="Calibri" w:eastAsia="Calibri" w:hAnsi="Calibri" w:cs="Calibri"/>
          <w:color w:val="000000"/>
          <w:sz w:val="22"/>
          <w:szCs w:val="22"/>
        </w:rPr>
        <w:t xml:space="preserve">Development </w:t>
      </w:r>
      <w:r w:rsidR="00BD6A5A" w:rsidRPr="009E261E">
        <w:rPr>
          <w:rFonts w:ascii="Calibri" w:eastAsia="Calibri" w:hAnsi="Calibri" w:cs="Calibri"/>
          <w:color w:val="000000"/>
          <w:sz w:val="22"/>
          <w:szCs w:val="22"/>
        </w:rPr>
        <w:t>Plan</w:t>
      </w:r>
      <w:r w:rsidR="000B3BAA">
        <w:rPr>
          <w:rFonts w:ascii="Calibri" w:eastAsia="Calibri" w:hAnsi="Calibri" w:cs="Calibri"/>
          <w:color w:val="000000"/>
          <w:sz w:val="22"/>
          <w:szCs w:val="22"/>
        </w:rPr>
        <w:t xml:space="preserve"> and the National Planning Policy Framework (NPPF)</w:t>
      </w:r>
      <w:r w:rsidR="00BD6A5A" w:rsidRPr="009E261E">
        <w:rPr>
          <w:rFonts w:ascii="Calibri" w:eastAsia="Calibri" w:hAnsi="Calibri" w:cs="Calibri"/>
          <w:color w:val="000000"/>
          <w:sz w:val="22"/>
          <w:szCs w:val="22"/>
        </w:rPr>
        <w:t>.</w:t>
      </w:r>
    </w:p>
    <w:p w:rsidR="00544710" w:rsidRDefault="0091749C" w:rsidP="0091749C">
      <w:pPr>
        <w:autoSpaceDE w:val="0"/>
        <w:autoSpaceDN w:val="0"/>
        <w:adjustRightInd w:val="0"/>
        <w:jc w:val="both"/>
        <w:rPr>
          <w:rFonts w:ascii="Calibri" w:eastAsia="Calibri" w:hAnsi="Calibri" w:cs="Calibri"/>
          <w:b/>
          <w:color w:val="244061" w:themeColor="accent1" w:themeShade="80"/>
        </w:rPr>
      </w:pPr>
      <w:r w:rsidRPr="00670AA8">
        <w:rPr>
          <w:rFonts w:ascii="Calibri" w:eastAsia="Calibri" w:hAnsi="Calibri" w:cs="Calibri"/>
          <w:b/>
          <w:color w:val="244061" w:themeColor="accent1" w:themeShade="80"/>
        </w:rPr>
        <w:t>Indicator</w:t>
      </w:r>
      <w:r w:rsidR="006D4F2E">
        <w:rPr>
          <w:rFonts w:ascii="Calibri" w:eastAsia="Calibri" w:hAnsi="Calibri" w:cs="Calibri"/>
          <w:b/>
          <w:color w:val="244061" w:themeColor="accent1" w:themeShade="80"/>
        </w:rPr>
        <w:t xml:space="preserve"> 4: </w:t>
      </w:r>
      <w:r>
        <w:rPr>
          <w:rFonts w:ascii="Calibri" w:eastAsia="Calibri" w:hAnsi="Calibri" w:cs="Calibri"/>
          <w:b/>
          <w:color w:val="244061" w:themeColor="accent1" w:themeShade="80"/>
        </w:rPr>
        <w:t xml:space="preserve">EMPLOYMENT </w:t>
      </w:r>
      <w:r w:rsidR="006D4F2E">
        <w:rPr>
          <w:rFonts w:ascii="Calibri" w:eastAsia="Calibri" w:hAnsi="Calibri" w:cs="Calibri"/>
          <w:b/>
          <w:color w:val="244061" w:themeColor="accent1" w:themeShade="80"/>
        </w:rPr>
        <w:t xml:space="preserve">DEVELOPMENT </w:t>
      </w:r>
      <w:r w:rsidR="00657BE0">
        <w:rPr>
          <w:rFonts w:ascii="Calibri" w:eastAsia="Calibri" w:hAnsi="Calibri" w:cs="Calibri"/>
          <w:b/>
          <w:color w:val="244061" w:themeColor="accent1" w:themeShade="80"/>
        </w:rPr>
        <w:t>ON ALLOCATED SITES</w:t>
      </w:r>
    </w:p>
    <w:p w:rsidR="0091749C" w:rsidRPr="00670AA8" w:rsidRDefault="0091749C" w:rsidP="0091749C">
      <w:pPr>
        <w:autoSpaceDE w:val="0"/>
        <w:autoSpaceDN w:val="0"/>
        <w:adjustRightInd w:val="0"/>
        <w:jc w:val="both"/>
        <w:rPr>
          <w:rFonts w:ascii="Calibri" w:eastAsia="Calibri" w:hAnsi="Calibri" w:cs="Calibri"/>
          <w:b/>
          <w:color w:val="244061" w:themeColor="accent1" w:themeShade="80"/>
          <w:sz w:val="10"/>
          <w:szCs w:val="22"/>
        </w:rPr>
      </w:pPr>
    </w:p>
    <w:p w:rsidR="0091749C" w:rsidRDefault="0091749C" w:rsidP="0091749C">
      <w:pPr>
        <w:shd w:val="clear" w:color="auto" w:fill="DAEEF3" w:themeFill="accent5" w:themeFillTint="33"/>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Strengthen and diversify the economy and provide a range of employment opportunities </w:t>
      </w:r>
      <w:r w:rsidRPr="00ED365D">
        <w:rPr>
          <w:rFonts w:ascii="Calibri" w:eastAsia="Calibri" w:hAnsi="Calibri" w:cs="Calibri"/>
          <w:color w:val="244061" w:themeColor="accent1" w:themeShade="80"/>
          <w:sz w:val="20"/>
          <w:szCs w:val="22"/>
        </w:rPr>
        <w:t>(Oxford Core Strategy</w:t>
      </w:r>
      <w:r w:rsidR="00ED365D" w:rsidRPr="00ED365D">
        <w:rPr>
          <w:rFonts w:ascii="Calibri" w:eastAsia="Calibri" w:hAnsi="Calibri" w:cs="Calibri"/>
          <w:color w:val="244061" w:themeColor="accent1" w:themeShade="80"/>
          <w:sz w:val="20"/>
          <w:szCs w:val="22"/>
        </w:rPr>
        <w:t xml:space="preserve"> Policy CS27</w:t>
      </w:r>
      <w:r w:rsidRPr="00ED365D">
        <w:rPr>
          <w:rFonts w:ascii="Calibri" w:eastAsia="Calibri" w:hAnsi="Calibri" w:cs="Calibri"/>
          <w:color w:val="244061" w:themeColor="accent1" w:themeShade="80"/>
          <w:sz w:val="20"/>
          <w:szCs w:val="22"/>
        </w:rPr>
        <w:t>)</w:t>
      </w:r>
    </w:p>
    <w:p w:rsidR="0091749C" w:rsidRPr="00EA6A1A" w:rsidRDefault="0091749C" w:rsidP="0091749C">
      <w:pPr>
        <w:autoSpaceDE w:val="0"/>
        <w:autoSpaceDN w:val="0"/>
        <w:adjustRightInd w:val="0"/>
        <w:jc w:val="both"/>
        <w:rPr>
          <w:rFonts w:ascii="Calibri" w:eastAsia="Calibri" w:hAnsi="Calibri" w:cs="Calibri"/>
          <w:b/>
          <w:color w:val="244061" w:themeColor="accent1" w:themeShade="80"/>
          <w:sz w:val="14"/>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91749C" w:rsidTr="00682A91">
        <w:trPr>
          <w:trHeight w:val="218"/>
        </w:trPr>
        <w:tc>
          <w:tcPr>
            <w:tcW w:w="5420" w:type="dxa"/>
          </w:tcPr>
          <w:p w:rsidR="0091749C" w:rsidRPr="00742A00" w:rsidRDefault="0091749C"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91749C" w:rsidTr="00682A91">
        <w:tc>
          <w:tcPr>
            <w:tcW w:w="5420" w:type="dxa"/>
            <w:vMerge w:val="restart"/>
          </w:tcPr>
          <w:p w:rsidR="0091749C" w:rsidRPr="00E523A6" w:rsidRDefault="0091749C" w:rsidP="00682A91">
            <w:pPr>
              <w:autoSpaceDE w:val="0"/>
              <w:autoSpaceDN w:val="0"/>
              <w:adjustRightInd w:val="0"/>
              <w:jc w:val="center"/>
              <w:rPr>
                <w:rFonts w:ascii="Calibri" w:eastAsia="Calibri" w:hAnsi="Calibri" w:cs="Calibri"/>
                <w:b/>
                <w:color w:val="244061" w:themeColor="accent1" w:themeShade="80"/>
                <w:sz w:val="8"/>
                <w:szCs w:val="8"/>
              </w:rPr>
            </w:pPr>
          </w:p>
          <w:p w:rsidR="0091749C" w:rsidRDefault="004E1070" w:rsidP="00682A91">
            <w:pPr>
              <w:autoSpaceDE w:val="0"/>
              <w:autoSpaceDN w:val="0"/>
              <w:adjustRightInd w:val="0"/>
              <w:jc w:val="center"/>
              <w:rPr>
                <w:rFonts w:ascii="Calibri" w:eastAsia="Calibri" w:hAnsi="Calibri" w:cs="Calibri"/>
                <w:b/>
                <w:color w:val="244061" w:themeColor="accent1" w:themeShade="80"/>
                <w:sz w:val="12"/>
                <w:szCs w:val="12"/>
              </w:rPr>
            </w:pPr>
            <w:r>
              <w:rPr>
                <w:noProof/>
                <w:lang w:eastAsia="en-GB"/>
              </w:rPr>
              <w:drawing>
                <wp:inline distT="0" distB="0" distL="0" distR="0" wp14:anchorId="2B0B4F18" wp14:editId="6BE62182">
                  <wp:extent cx="1647825" cy="495300"/>
                  <wp:effectExtent l="0" t="0" r="9525" b="0"/>
                  <wp:docPr id="233" name="Picture 23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rsidR="004E1070" w:rsidRPr="00742A00" w:rsidRDefault="004E1070" w:rsidP="00682A91">
            <w:pPr>
              <w:autoSpaceDE w:val="0"/>
              <w:autoSpaceDN w:val="0"/>
              <w:adjustRightInd w:val="0"/>
              <w:jc w:val="center"/>
              <w:rPr>
                <w:rFonts w:ascii="Calibri" w:eastAsia="Calibri" w:hAnsi="Calibri" w:cs="Calibri"/>
                <w:b/>
                <w:color w:val="244061" w:themeColor="accent1" w:themeShade="80"/>
                <w:sz w:val="12"/>
                <w:szCs w:val="12"/>
              </w:rPr>
            </w:pPr>
          </w:p>
        </w:tc>
        <w:tc>
          <w:tcPr>
            <w:tcW w:w="1101"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76A0779A" wp14:editId="0519470F">
                  <wp:extent cx="1085850" cy="326964"/>
                  <wp:effectExtent l="0" t="0" r="0" b="0"/>
                  <wp:docPr id="34" name="Picture 3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91749C" w:rsidRPr="00E523A6" w:rsidRDefault="0091749C" w:rsidP="00682A91">
            <w:pPr>
              <w:autoSpaceDE w:val="0"/>
              <w:autoSpaceDN w:val="0"/>
              <w:adjustRightInd w:val="0"/>
              <w:jc w:val="center"/>
              <w:rPr>
                <w:rFonts w:ascii="Calibri" w:eastAsia="Calibri" w:hAnsi="Calibri" w:cs="Calibri"/>
                <w:b/>
                <w:color w:val="244061" w:themeColor="accent1" w:themeShade="80"/>
                <w:sz w:val="8"/>
                <w:szCs w:val="8"/>
              </w:rPr>
            </w:pPr>
          </w:p>
        </w:tc>
      </w:tr>
      <w:tr w:rsidR="0091749C" w:rsidTr="00682A91">
        <w:tc>
          <w:tcPr>
            <w:tcW w:w="5420" w:type="dxa"/>
            <w:vMerge/>
          </w:tcPr>
          <w:p w:rsidR="0091749C" w:rsidRDefault="0091749C"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35C7C485" wp14:editId="4BCAF363">
                  <wp:extent cx="1085850" cy="338644"/>
                  <wp:effectExtent l="0" t="0" r="0" b="4445"/>
                  <wp:docPr id="37" name="Picture 37"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0B3BAA" w:rsidRDefault="000B3BAA" w:rsidP="000B3BAA">
      <w:pPr>
        <w:spacing w:after="200" w:line="276" w:lineRule="auto"/>
        <w:jc w:val="both"/>
        <w:rPr>
          <w:rFonts w:ascii="Calibri" w:eastAsia="Calibri" w:hAnsi="Calibri" w:cs="Calibri"/>
          <w:color w:val="000000"/>
          <w:sz w:val="22"/>
          <w:szCs w:val="22"/>
        </w:rPr>
      </w:pPr>
    </w:p>
    <w:p w:rsidR="004F4073" w:rsidRDefault="000B3BAA"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This indicator l</w:t>
      </w:r>
      <w:r w:rsidRPr="00147AD9">
        <w:rPr>
          <w:rFonts w:ascii="Calibri" w:eastAsia="Calibri" w:hAnsi="Calibri" w:cs="Calibri"/>
          <w:color w:val="000000"/>
          <w:sz w:val="22"/>
          <w:szCs w:val="22"/>
        </w:rPr>
        <w:t xml:space="preserve">ooks at </w:t>
      </w:r>
      <w:r w:rsidR="009D4EB7">
        <w:rPr>
          <w:rFonts w:ascii="Calibri" w:eastAsia="Calibri" w:hAnsi="Calibri" w:cs="Calibri"/>
          <w:color w:val="000000"/>
          <w:sz w:val="22"/>
          <w:szCs w:val="22"/>
        </w:rPr>
        <w:t>developments completed</w:t>
      </w:r>
      <w:r w:rsidRPr="00147AD9">
        <w:rPr>
          <w:rFonts w:ascii="Calibri" w:eastAsia="Calibri" w:hAnsi="Calibri" w:cs="Calibri"/>
          <w:color w:val="000000"/>
          <w:sz w:val="22"/>
          <w:szCs w:val="22"/>
        </w:rPr>
        <w:t xml:space="preserve"> on sites allocated for employmen</w:t>
      </w:r>
      <w:r w:rsidR="00901791">
        <w:rPr>
          <w:rFonts w:ascii="Calibri" w:eastAsia="Calibri" w:hAnsi="Calibri" w:cs="Calibri"/>
          <w:color w:val="000000"/>
          <w:sz w:val="22"/>
          <w:szCs w:val="22"/>
        </w:rPr>
        <w:t>t</w:t>
      </w:r>
      <w:r w:rsidRPr="00147AD9">
        <w:rPr>
          <w:rFonts w:ascii="Calibri" w:eastAsia="Calibri" w:hAnsi="Calibri" w:cs="Calibri"/>
          <w:color w:val="000000"/>
          <w:sz w:val="22"/>
          <w:szCs w:val="22"/>
        </w:rPr>
        <w:t xml:space="preserve"> </w:t>
      </w:r>
      <w:r>
        <w:rPr>
          <w:rFonts w:ascii="Calibri" w:eastAsia="Calibri" w:hAnsi="Calibri" w:cs="Calibri"/>
          <w:color w:val="000000"/>
          <w:sz w:val="22"/>
          <w:szCs w:val="22"/>
        </w:rPr>
        <w:t>in Oxford’s Local</w:t>
      </w:r>
      <w:r w:rsidR="00354A24">
        <w:rPr>
          <w:rFonts w:ascii="Calibri" w:eastAsia="Calibri" w:hAnsi="Calibri" w:cs="Calibri"/>
          <w:color w:val="000000"/>
          <w:sz w:val="22"/>
          <w:szCs w:val="22"/>
        </w:rPr>
        <w:t xml:space="preserve"> Development</w:t>
      </w:r>
      <w:r>
        <w:rPr>
          <w:rFonts w:ascii="Calibri" w:eastAsia="Calibri" w:hAnsi="Calibri" w:cs="Calibri"/>
          <w:color w:val="000000"/>
          <w:sz w:val="22"/>
          <w:szCs w:val="22"/>
        </w:rPr>
        <w:t xml:space="preserve"> Plan. </w:t>
      </w:r>
      <w:r w:rsidRPr="00EA6A1A">
        <w:rPr>
          <w:rFonts w:ascii="Calibri" w:eastAsia="Calibri" w:hAnsi="Calibri" w:cs="Calibri"/>
          <w:color w:val="000000"/>
          <w:sz w:val="22"/>
          <w:szCs w:val="22"/>
        </w:rPr>
        <w:t xml:space="preserve">Figure 3 shows </w:t>
      </w:r>
      <w:r w:rsidR="00354A24">
        <w:rPr>
          <w:rFonts w:ascii="Calibri" w:eastAsia="Calibri" w:hAnsi="Calibri" w:cs="Calibri"/>
          <w:color w:val="000000"/>
          <w:sz w:val="22"/>
          <w:szCs w:val="22"/>
        </w:rPr>
        <w:t xml:space="preserve">that no </w:t>
      </w:r>
      <w:r>
        <w:rPr>
          <w:rFonts w:ascii="Calibri" w:eastAsia="Calibri" w:hAnsi="Calibri" w:cs="Calibri"/>
          <w:color w:val="000000"/>
          <w:sz w:val="22"/>
          <w:szCs w:val="22"/>
        </w:rPr>
        <w:t xml:space="preserve">employment development has been completed on allocated sites </w:t>
      </w:r>
      <w:r w:rsidR="009D4EB7">
        <w:rPr>
          <w:rFonts w:ascii="Calibri" w:eastAsia="Calibri" w:hAnsi="Calibri" w:cs="Calibri"/>
          <w:color w:val="000000"/>
          <w:sz w:val="22"/>
          <w:szCs w:val="22"/>
        </w:rPr>
        <w:t>during the</w:t>
      </w:r>
      <w:r>
        <w:rPr>
          <w:rFonts w:ascii="Calibri" w:eastAsia="Calibri" w:hAnsi="Calibri" w:cs="Calibri"/>
          <w:color w:val="000000"/>
          <w:sz w:val="22"/>
          <w:szCs w:val="22"/>
        </w:rPr>
        <w:t xml:space="preserve"> monitoring year. </w:t>
      </w:r>
    </w:p>
    <w:p w:rsidR="004E1070" w:rsidRPr="004E1070" w:rsidRDefault="004E1070" w:rsidP="004E1070">
      <w:pPr>
        <w:spacing w:after="200" w:line="276" w:lineRule="auto"/>
        <w:ind w:left="360"/>
        <w:jc w:val="both"/>
        <w:rPr>
          <w:rFonts w:ascii="Calibri" w:eastAsia="Calibri" w:hAnsi="Calibri" w:cs="Calibri"/>
          <w:color w:val="000000"/>
          <w:sz w:val="22"/>
          <w:szCs w:val="22"/>
        </w:rPr>
      </w:pPr>
    </w:p>
    <w:p w:rsidR="00354A24" w:rsidRDefault="00354A24" w:rsidP="00DF405C">
      <w:pPr>
        <w:rPr>
          <w:rFonts w:ascii="Calibri" w:eastAsia="Calibri" w:hAnsi="Calibri" w:cs="Calibri"/>
          <w:color w:val="000000"/>
          <w:sz w:val="22"/>
          <w:szCs w:val="22"/>
        </w:rPr>
      </w:pPr>
    </w:p>
    <w:p w:rsidR="00901791" w:rsidRDefault="00901791" w:rsidP="00DF405C">
      <w:pPr>
        <w:rPr>
          <w:rFonts w:ascii="Calibri" w:eastAsia="Calibri" w:hAnsi="Calibri" w:cs="Calibri"/>
          <w:color w:val="000000"/>
          <w:sz w:val="22"/>
          <w:szCs w:val="22"/>
        </w:rPr>
      </w:pPr>
    </w:p>
    <w:p w:rsidR="004E7BB4" w:rsidRPr="000B3BAA" w:rsidRDefault="004E7BB4" w:rsidP="00DF405C">
      <w:pPr>
        <w:rPr>
          <w:rFonts w:ascii="Calibri" w:eastAsia="Calibri" w:hAnsi="Calibri" w:cs="Calibri"/>
          <w:color w:val="000000"/>
          <w:sz w:val="22"/>
          <w:szCs w:val="22"/>
        </w:rPr>
      </w:pPr>
    </w:p>
    <w:tbl>
      <w:tblPr>
        <w:tblStyle w:val="TableGrid"/>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276"/>
        <w:gridCol w:w="1125"/>
        <w:gridCol w:w="1245"/>
        <w:gridCol w:w="1129"/>
        <w:gridCol w:w="1128"/>
        <w:gridCol w:w="1223"/>
        <w:gridCol w:w="1116"/>
      </w:tblGrid>
      <w:tr w:rsidR="00EB1BD6" w:rsidTr="00EB1BD6">
        <w:tc>
          <w:tcPr>
            <w:tcW w:w="2376" w:type="dxa"/>
            <w:tcBorders>
              <w:top w:val="nil"/>
              <w:left w:val="nil"/>
            </w:tcBorders>
            <w:shd w:val="clear" w:color="auto" w:fill="auto"/>
          </w:tcPr>
          <w:p w:rsidR="00EB1BD6" w:rsidRPr="00EB1BD6" w:rsidRDefault="00EB1BD6" w:rsidP="007B632F">
            <w:pPr>
              <w:rPr>
                <w:rFonts w:asciiTheme="minorHAnsi" w:hAnsiTheme="minorHAnsi" w:cstheme="minorHAnsi"/>
                <w:color w:val="0D0D0D" w:themeColor="text1" w:themeTint="F2"/>
                <w:sz w:val="20"/>
              </w:rPr>
            </w:pPr>
          </w:p>
        </w:tc>
        <w:tc>
          <w:tcPr>
            <w:tcW w:w="1144" w:type="dxa"/>
            <w:shd w:val="clear" w:color="auto" w:fill="auto"/>
          </w:tcPr>
          <w:p w:rsidR="00EB1BD6" w:rsidRPr="00CD6163" w:rsidRDefault="00EB1BD6" w:rsidP="00420C87">
            <w:pPr>
              <w:jc w:val="center"/>
              <w:rPr>
                <w:rFonts w:asciiTheme="minorHAnsi" w:hAnsiTheme="minorHAnsi" w:cstheme="minorHAnsi"/>
                <w:b/>
                <w:color w:val="404040" w:themeColor="text1" w:themeTint="BF"/>
                <w:sz w:val="20"/>
              </w:rPr>
            </w:pPr>
            <w:r w:rsidRPr="00CD6163">
              <w:rPr>
                <w:rFonts w:asciiTheme="minorHAnsi" w:hAnsiTheme="minorHAnsi" w:cstheme="minorHAnsi"/>
                <w:b/>
                <w:color w:val="404040" w:themeColor="text1" w:themeTint="BF"/>
                <w:sz w:val="20"/>
              </w:rPr>
              <w:t>B1a</w:t>
            </w:r>
          </w:p>
          <w:p w:rsidR="00EB1BD6" w:rsidRPr="00CD6163" w:rsidRDefault="005C674B" w:rsidP="00420C87">
            <w:pPr>
              <w:jc w:val="center"/>
              <w:rPr>
                <w:rFonts w:asciiTheme="minorHAnsi" w:hAnsiTheme="minorHAnsi" w:cstheme="minorHAnsi"/>
                <w:color w:val="404040" w:themeColor="text1" w:themeTint="BF"/>
                <w:sz w:val="20"/>
              </w:rPr>
            </w:pPr>
            <w:r w:rsidRPr="00CD6163">
              <w:rPr>
                <w:rFonts w:asciiTheme="minorHAnsi" w:hAnsiTheme="minorHAnsi" w:cstheme="minorHAnsi"/>
                <w:color w:val="404040" w:themeColor="text1" w:themeTint="BF"/>
                <w:sz w:val="20"/>
              </w:rPr>
              <w:t>(O</w:t>
            </w:r>
            <w:r w:rsidR="00EB1BD6" w:rsidRPr="00CD6163">
              <w:rPr>
                <w:rFonts w:asciiTheme="minorHAnsi" w:hAnsiTheme="minorHAnsi" w:cstheme="minorHAnsi"/>
                <w:color w:val="404040" w:themeColor="text1" w:themeTint="BF"/>
                <w:sz w:val="20"/>
              </w:rPr>
              <w:t>ffices)</w:t>
            </w:r>
          </w:p>
        </w:tc>
        <w:tc>
          <w:tcPr>
            <w:tcW w:w="1144" w:type="dxa"/>
            <w:shd w:val="clear" w:color="auto" w:fill="auto"/>
          </w:tcPr>
          <w:p w:rsidR="00EB1BD6" w:rsidRPr="00CD6163" w:rsidRDefault="00EB1BD6" w:rsidP="00420C87">
            <w:pPr>
              <w:jc w:val="center"/>
              <w:rPr>
                <w:rFonts w:asciiTheme="minorHAnsi" w:hAnsiTheme="minorHAnsi" w:cstheme="minorHAnsi"/>
                <w:b/>
                <w:color w:val="404040" w:themeColor="text1" w:themeTint="BF"/>
                <w:sz w:val="20"/>
              </w:rPr>
            </w:pPr>
            <w:r w:rsidRPr="00CD6163">
              <w:rPr>
                <w:rFonts w:asciiTheme="minorHAnsi" w:hAnsiTheme="minorHAnsi" w:cstheme="minorHAnsi"/>
                <w:b/>
                <w:color w:val="404040" w:themeColor="text1" w:themeTint="BF"/>
                <w:sz w:val="20"/>
              </w:rPr>
              <w:t>B1b</w:t>
            </w:r>
          </w:p>
          <w:p w:rsidR="00EB1BD6" w:rsidRPr="00CD6163" w:rsidRDefault="005C674B" w:rsidP="00420C87">
            <w:pPr>
              <w:jc w:val="center"/>
              <w:rPr>
                <w:rFonts w:asciiTheme="minorHAnsi" w:hAnsiTheme="minorHAnsi" w:cstheme="minorHAnsi"/>
                <w:color w:val="404040" w:themeColor="text1" w:themeTint="BF"/>
                <w:sz w:val="20"/>
              </w:rPr>
            </w:pPr>
            <w:r w:rsidRPr="00CD6163">
              <w:rPr>
                <w:rFonts w:asciiTheme="minorHAnsi" w:hAnsiTheme="minorHAnsi" w:cstheme="minorHAnsi"/>
                <w:color w:val="404040" w:themeColor="text1" w:themeTint="BF"/>
                <w:sz w:val="18"/>
              </w:rPr>
              <w:t>(R</w:t>
            </w:r>
            <w:r w:rsidR="00EB1BD6" w:rsidRPr="00CD6163">
              <w:rPr>
                <w:rFonts w:asciiTheme="minorHAnsi" w:hAnsiTheme="minorHAnsi" w:cstheme="minorHAnsi"/>
                <w:color w:val="404040" w:themeColor="text1" w:themeTint="BF"/>
                <w:sz w:val="18"/>
              </w:rPr>
              <w:t>esearch + development)</w:t>
            </w:r>
          </w:p>
        </w:tc>
        <w:tc>
          <w:tcPr>
            <w:tcW w:w="1145" w:type="dxa"/>
            <w:shd w:val="clear" w:color="auto" w:fill="auto"/>
          </w:tcPr>
          <w:p w:rsidR="00EB1BD6" w:rsidRPr="00CD6163" w:rsidRDefault="00354A24" w:rsidP="00420C87">
            <w:pPr>
              <w:jc w:val="center"/>
              <w:rPr>
                <w:rFonts w:asciiTheme="minorHAnsi" w:hAnsiTheme="minorHAnsi" w:cstheme="minorHAnsi"/>
                <w:b/>
                <w:color w:val="404040" w:themeColor="text1" w:themeTint="BF"/>
                <w:sz w:val="20"/>
              </w:rPr>
            </w:pPr>
            <w:r w:rsidRPr="00CD6163">
              <w:rPr>
                <w:rFonts w:ascii="Calibri" w:eastAsia="Calibri" w:hAnsi="Calibri" w:cs="Calibri"/>
                <w:b/>
                <w:noProof/>
                <w:color w:val="000000"/>
                <w:sz w:val="32"/>
                <w:szCs w:val="32"/>
                <w:lang w:eastAsia="en-GB"/>
              </w:rPr>
              <mc:AlternateContent>
                <mc:Choice Requires="wps">
                  <w:drawing>
                    <wp:anchor distT="0" distB="0" distL="114300" distR="114300" simplePos="0" relativeHeight="251748352" behindDoc="0" locked="0" layoutInCell="1" allowOverlap="1" wp14:anchorId="43E80B56" wp14:editId="3807AB13">
                      <wp:simplePos x="0" y="0"/>
                      <wp:positionH relativeFrom="column">
                        <wp:posOffset>520700</wp:posOffset>
                      </wp:positionH>
                      <wp:positionV relativeFrom="paragraph">
                        <wp:posOffset>-605790</wp:posOffset>
                      </wp:positionV>
                      <wp:extent cx="2427605" cy="3524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5" type="#_x0000_t202" style="position:absolute;left:0;text-align:left;margin-left:41pt;margin-top:-47.7pt;width:191.15pt;height:27.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" fillcolor="window" stroked="f" strokeweight=".5pt">
                      <v:textbox>
                        <w:txbxContent>
                          <w:p w:rsidR="000D3CFF" w:rsidRPr="00280EB5" w:rsidRDefault="000D3CFF" w:rsidP="00280EB5">
                            <w:pPr>
                              <w:jc w:val="right"/>
                              <w:rPr>
                                <w:b/>
                                <w:color w:val="17365D" w:themeColor="text2" w:themeShade="BF"/>
                              </w:rPr>
                            </w:pPr>
                            <w:r>
                              <w:rPr>
                                <w:b/>
                                <w:color w:val="17365D" w:themeColor="text2" w:themeShade="BF"/>
                              </w:rPr>
                              <w:t>Vibrant, Sustainable Economy</w:t>
                            </w:r>
                          </w:p>
                        </w:txbxContent>
                      </v:textbox>
                    </v:shape>
                  </w:pict>
                </mc:Fallback>
              </mc:AlternateContent>
            </w:r>
            <w:r w:rsidR="00EB1BD6" w:rsidRPr="00CD6163">
              <w:rPr>
                <w:rFonts w:asciiTheme="minorHAnsi" w:hAnsiTheme="minorHAnsi" w:cstheme="minorHAnsi"/>
                <w:b/>
                <w:color w:val="404040" w:themeColor="text1" w:themeTint="BF"/>
                <w:sz w:val="20"/>
              </w:rPr>
              <w:t>B1c</w:t>
            </w:r>
          </w:p>
          <w:p w:rsidR="00EB1BD6" w:rsidRPr="00CD6163" w:rsidRDefault="005C674B" w:rsidP="00420C87">
            <w:pPr>
              <w:jc w:val="center"/>
              <w:rPr>
                <w:rFonts w:asciiTheme="minorHAnsi" w:hAnsiTheme="minorHAnsi" w:cstheme="minorHAnsi"/>
                <w:color w:val="404040" w:themeColor="text1" w:themeTint="BF"/>
                <w:sz w:val="20"/>
              </w:rPr>
            </w:pPr>
            <w:r w:rsidRPr="00CD6163">
              <w:rPr>
                <w:rFonts w:asciiTheme="minorHAnsi" w:hAnsiTheme="minorHAnsi" w:cstheme="minorHAnsi"/>
                <w:color w:val="404040" w:themeColor="text1" w:themeTint="BF"/>
                <w:sz w:val="20"/>
              </w:rPr>
              <w:t>(L</w:t>
            </w:r>
            <w:r w:rsidR="00EB1BD6" w:rsidRPr="00CD6163">
              <w:rPr>
                <w:rFonts w:asciiTheme="minorHAnsi" w:hAnsiTheme="minorHAnsi" w:cstheme="minorHAnsi"/>
                <w:color w:val="404040" w:themeColor="text1" w:themeTint="BF"/>
                <w:sz w:val="20"/>
              </w:rPr>
              <w:t>ight industry)</w:t>
            </w:r>
          </w:p>
        </w:tc>
        <w:tc>
          <w:tcPr>
            <w:tcW w:w="1144" w:type="dxa"/>
            <w:shd w:val="clear" w:color="auto" w:fill="auto"/>
          </w:tcPr>
          <w:p w:rsidR="00EB1BD6" w:rsidRPr="00CD6163" w:rsidRDefault="00EB1BD6" w:rsidP="00420C87">
            <w:pPr>
              <w:jc w:val="center"/>
              <w:rPr>
                <w:rFonts w:asciiTheme="minorHAnsi" w:hAnsiTheme="minorHAnsi" w:cstheme="minorHAnsi"/>
                <w:b/>
                <w:color w:val="404040" w:themeColor="text1" w:themeTint="BF"/>
                <w:sz w:val="20"/>
              </w:rPr>
            </w:pPr>
            <w:r w:rsidRPr="00CD6163">
              <w:rPr>
                <w:rFonts w:asciiTheme="minorHAnsi" w:hAnsiTheme="minorHAnsi" w:cstheme="minorHAnsi"/>
                <w:b/>
                <w:color w:val="404040" w:themeColor="text1" w:themeTint="BF"/>
                <w:sz w:val="20"/>
              </w:rPr>
              <w:t>B2</w:t>
            </w:r>
          </w:p>
          <w:p w:rsidR="00EB1BD6" w:rsidRPr="00CD6163" w:rsidRDefault="005C674B" w:rsidP="00420C87">
            <w:pPr>
              <w:jc w:val="center"/>
              <w:rPr>
                <w:rFonts w:asciiTheme="minorHAnsi" w:hAnsiTheme="minorHAnsi" w:cstheme="minorHAnsi"/>
                <w:color w:val="404040" w:themeColor="text1" w:themeTint="BF"/>
                <w:sz w:val="20"/>
              </w:rPr>
            </w:pPr>
            <w:r w:rsidRPr="00CD6163">
              <w:rPr>
                <w:rFonts w:asciiTheme="minorHAnsi" w:hAnsiTheme="minorHAnsi" w:cstheme="minorHAnsi"/>
                <w:color w:val="404040" w:themeColor="text1" w:themeTint="BF"/>
                <w:sz w:val="20"/>
              </w:rPr>
              <w:t>(G</w:t>
            </w:r>
            <w:r w:rsidR="00EB1BD6" w:rsidRPr="00CD6163">
              <w:rPr>
                <w:rFonts w:asciiTheme="minorHAnsi" w:hAnsiTheme="minorHAnsi" w:cstheme="minorHAnsi"/>
                <w:color w:val="404040" w:themeColor="text1" w:themeTint="BF"/>
                <w:sz w:val="20"/>
              </w:rPr>
              <w:t>eneral industry)</w:t>
            </w:r>
          </w:p>
        </w:tc>
        <w:tc>
          <w:tcPr>
            <w:tcW w:w="1144" w:type="dxa"/>
            <w:shd w:val="clear" w:color="auto" w:fill="auto"/>
          </w:tcPr>
          <w:p w:rsidR="00EB1BD6" w:rsidRPr="00CD6163" w:rsidRDefault="00EB1BD6" w:rsidP="00420C87">
            <w:pPr>
              <w:jc w:val="center"/>
              <w:rPr>
                <w:rFonts w:asciiTheme="minorHAnsi" w:hAnsiTheme="minorHAnsi" w:cstheme="minorHAnsi"/>
                <w:b/>
                <w:color w:val="404040" w:themeColor="text1" w:themeTint="BF"/>
                <w:sz w:val="20"/>
              </w:rPr>
            </w:pPr>
            <w:r w:rsidRPr="00CD6163">
              <w:rPr>
                <w:rFonts w:asciiTheme="minorHAnsi" w:hAnsiTheme="minorHAnsi" w:cstheme="minorHAnsi"/>
                <w:b/>
                <w:color w:val="404040" w:themeColor="text1" w:themeTint="BF"/>
                <w:sz w:val="20"/>
              </w:rPr>
              <w:t>B8</w:t>
            </w:r>
          </w:p>
          <w:p w:rsidR="00EB1BD6" w:rsidRPr="00CD6163" w:rsidRDefault="005C674B" w:rsidP="00420C87">
            <w:pPr>
              <w:jc w:val="center"/>
              <w:rPr>
                <w:rFonts w:asciiTheme="minorHAnsi" w:hAnsiTheme="minorHAnsi" w:cstheme="minorHAnsi"/>
                <w:color w:val="404040" w:themeColor="text1" w:themeTint="BF"/>
                <w:sz w:val="20"/>
              </w:rPr>
            </w:pPr>
            <w:r w:rsidRPr="00CD6163">
              <w:rPr>
                <w:rFonts w:asciiTheme="minorHAnsi" w:hAnsiTheme="minorHAnsi" w:cstheme="minorHAnsi"/>
                <w:color w:val="404040" w:themeColor="text1" w:themeTint="BF"/>
                <w:sz w:val="20"/>
              </w:rPr>
              <w:t>(S</w:t>
            </w:r>
            <w:r w:rsidR="00EB1BD6" w:rsidRPr="00CD6163">
              <w:rPr>
                <w:rFonts w:asciiTheme="minorHAnsi" w:hAnsiTheme="minorHAnsi" w:cstheme="minorHAnsi"/>
                <w:color w:val="404040" w:themeColor="text1" w:themeTint="BF"/>
                <w:sz w:val="20"/>
              </w:rPr>
              <w:t>torage or distribution)</w:t>
            </w:r>
          </w:p>
        </w:tc>
        <w:tc>
          <w:tcPr>
            <w:tcW w:w="1145" w:type="dxa"/>
            <w:shd w:val="clear" w:color="auto" w:fill="auto"/>
          </w:tcPr>
          <w:p w:rsidR="00EB1BD6" w:rsidRPr="00E7018D" w:rsidRDefault="00EB1BD6" w:rsidP="005C674B">
            <w:pPr>
              <w:jc w:val="center"/>
              <w:rPr>
                <w:rFonts w:asciiTheme="minorHAnsi" w:hAnsiTheme="minorHAnsi" w:cstheme="minorHAnsi"/>
                <w:b/>
                <w:color w:val="404040" w:themeColor="text1" w:themeTint="BF"/>
                <w:sz w:val="20"/>
              </w:rPr>
            </w:pPr>
            <w:r w:rsidRPr="00CD6163">
              <w:rPr>
                <w:rFonts w:asciiTheme="minorHAnsi" w:hAnsiTheme="minorHAnsi" w:cstheme="minorHAnsi"/>
                <w:b/>
                <w:color w:val="404040" w:themeColor="text1" w:themeTint="BF"/>
                <w:sz w:val="20"/>
              </w:rPr>
              <w:t>Total</w:t>
            </w:r>
          </w:p>
        </w:tc>
      </w:tr>
      <w:tr w:rsidR="00147AD9" w:rsidTr="00CC19A9">
        <w:trPr>
          <w:trHeight w:val="105"/>
        </w:trPr>
        <w:tc>
          <w:tcPr>
            <w:tcW w:w="2376" w:type="dxa"/>
            <w:shd w:val="clear" w:color="auto" w:fill="DBE5F1" w:themeFill="accent1" w:themeFillTint="33"/>
          </w:tcPr>
          <w:p w:rsidR="00147AD9" w:rsidRPr="00E7018D" w:rsidRDefault="00147AD9" w:rsidP="007B632F">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2013/14 Gross external </w:t>
            </w:r>
            <w:proofErr w:type="spellStart"/>
            <w:r w:rsidRPr="00E7018D">
              <w:rPr>
                <w:rFonts w:asciiTheme="minorHAnsi" w:hAnsiTheme="minorHAnsi" w:cstheme="minorHAnsi"/>
                <w:b/>
                <w:color w:val="404040" w:themeColor="text1" w:themeTint="BF"/>
                <w:sz w:val="20"/>
              </w:rPr>
              <w:t>floorspace</w:t>
            </w:r>
            <w:proofErr w:type="spellEnd"/>
            <w:r w:rsidRPr="00E7018D">
              <w:rPr>
                <w:rFonts w:asciiTheme="minorHAnsi" w:hAnsiTheme="minorHAnsi" w:cstheme="minorHAnsi"/>
                <w:b/>
                <w:color w:val="404040" w:themeColor="text1" w:themeTint="BF"/>
                <w:sz w:val="20"/>
              </w:rPr>
              <w:t xml:space="preserve"> (</w:t>
            </w:r>
            <w:r w:rsidRPr="00E7018D">
              <w:rPr>
                <w:rFonts w:asciiTheme="minorHAnsi" w:hAnsiTheme="minorHAnsi" w:cstheme="minorHAnsi"/>
                <w:b/>
                <w:color w:val="404040" w:themeColor="text1" w:themeTint="BF"/>
                <w:sz w:val="18"/>
              </w:rPr>
              <w:t>m</w:t>
            </w:r>
            <w:r w:rsidRPr="00E7018D">
              <w:rPr>
                <w:rFonts w:asciiTheme="minorHAnsi" w:hAnsiTheme="minorHAnsi" w:cstheme="minorHAnsi"/>
                <w:b/>
                <w:color w:val="404040" w:themeColor="text1" w:themeTint="BF"/>
                <w:sz w:val="18"/>
                <w:vertAlign w:val="superscript"/>
              </w:rPr>
              <w:t>2</w:t>
            </w:r>
            <w:r w:rsidRPr="00E7018D">
              <w:rPr>
                <w:rFonts w:asciiTheme="minorHAnsi" w:hAnsiTheme="minorHAnsi" w:cstheme="minorHAnsi"/>
                <w:b/>
                <w:color w:val="404040" w:themeColor="text1" w:themeTint="BF"/>
                <w:sz w:val="18"/>
              </w:rPr>
              <w:t>)</w:t>
            </w:r>
          </w:p>
        </w:tc>
        <w:tc>
          <w:tcPr>
            <w:tcW w:w="1144"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c>
          <w:tcPr>
            <w:tcW w:w="1144"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c>
          <w:tcPr>
            <w:tcW w:w="1145"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c>
          <w:tcPr>
            <w:tcW w:w="1144"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c>
          <w:tcPr>
            <w:tcW w:w="1144"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c>
          <w:tcPr>
            <w:tcW w:w="1145" w:type="dxa"/>
            <w:shd w:val="clear" w:color="auto" w:fill="DBE5F1" w:themeFill="accent1" w:themeFillTint="33"/>
          </w:tcPr>
          <w:p w:rsidR="00147AD9" w:rsidRPr="00E7018D" w:rsidRDefault="00147AD9"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0</w:t>
            </w:r>
          </w:p>
        </w:tc>
      </w:tr>
      <w:tr w:rsidR="00147AD9" w:rsidTr="00EB1BD6">
        <w:trPr>
          <w:trHeight w:val="105"/>
        </w:trPr>
        <w:tc>
          <w:tcPr>
            <w:tcW w:w="2376" w:type="dxa"/>
            <w:shd w:val="clear" w:color="auto" w:fill="auto"/>
          </w:tcPr>
          <w:p w:rsidR="00147AD9" w:rsidRPr="00E7018D" w:rsidRDefault="00147AD9" w:rsidP="007B632F">
            <w:pP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 xml:space="preserve">2012/13 Gross external </w:t>
            </w:r>
            <w:proofErr w:type="spellStart"/>
            <w:r w:rsidRPr="00E7018D">
              <w:rPr>
                <w:rFonts w:asciiTheme="minorHAnsi" w:hAnsiTheme="minorHAnsi" w:cstheme="minorHAnsi"/>
                <w:color w:val="404040" w:themeColor="text1" w:themeTint="BF"/>
                <w:sz w:val="20"/>
              </w:rPr>
              <w:t>floorspace</w:t>
            </w:r>
            <w:proofErr w:type="spellEnd"/>
            <w:r w:rsidRPr="00E7018D">
              <w:rPr>
                <w:rFonts w:asciiTheme="minorHAnsi" w:hAnsiTheme="minorHAnsi" w:cstheme="minorHAnsi"/>
                <w:color w:val="404040" w:themeColor="text1" w:themeTint="BF"/>
                <w:sz w:val="20"/>
              </w:rPr>
              <w:t xml:space="preserve"> (m</w:t>
            </w:r>
            <w:r w:rsidRPr="007A59A0">
              <w:rPr>
                <w:rFonts w:asciiTheme="minorHAnsi" w:hAnsiTheme="minorHAnsi" w:cstheme="minorHAnsi"/>
                <w:color w:val="404040" w:themeColor="text1" w:themeTint="BF"/>
                <w:sz w:val="20"/>
                <w:vertAlign w:val="superscript"/>
              </w:rPr>
              <w:t>2</w:t>
            </w:r>
            <w:r w:rsidRPr="00E7018D">
              <w:rPr>
                <w:rFonts w:asciiTheme="minorHAnsi" w:hAnsiTheme="minorHAnsi" w:cstheme="minorHAnsi"/>
                <w:color w:val="404040" w:themeColor="text1" w:themeTint="BF"/>
                <w:sz w:val="20"/>
              </w:rPr>
              <w:t>)</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9,097</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1,924</w:t>
            </w:r>
          </w:p>
        </w:tc>
        <w:tc>
          <w:tcPr>
            <w:tcW w:w="1145"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5"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11,021</w:t>
            </w:r>
          </w:p>
        </w:tc>
      </w:tr>
      <w:tr w:rsidR="00147AD9" w:rsidTr="00EB1BD6">
        <w:trPr>
          <w:trHeight w:val="105"/>
        </w:trPr>
        <w:tc>
          <w:tcPr>
            <w:tcW w:w="2376" w:type="dxa"/>
            <w:shd w:val="clear" w:color="auto" w:fill="auto"/>
          </w:tcPr>
          <w:p w:rsidR="00147AD9" w:rsidRPr="00E7018D" w:rsidRDefault="00147AD9" w:rsidP="007B632F">
            <w:pP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 xml:space="preserve">2011/12 Gross external </w:t>
            </w:r>
            <w:proofErr w:type="spellStart"/>
            <w:r w:rsidRPr="00E7018D">
              <w:rPr>
                <w:rFonts w:asciiTheme="minorHAnsi" w:hAnsiTheme="minorHAnsi" w:cstheme="minorHAnsi"/>
                <w:color w:val="404040" w:themeColor="text1" w:themeTint="BF"/>
                <w:sz w:val="20"/>
              </w:rPr>
              <w:t>floorspace</w:t>
            </w:r>
            <w:proofErr w:type="spellEnd"/>
            <w:r w:rsidRPr="00E7018D">
              <w:rPr>
                <w:rFonts w:asciiTheme="minorHAnsi" w:hAnsiTheme="minorHAnsi" w:cstheme="minorHAnsi"/>
                <w:color w:val="404040" w:themeColor="text1" w:themeTint="BF"/>
                <w:sz w:val="20"/>
              </w:rPr>
              <w:t xml:space="preserve"> (</w:t>
            </w:r>
            <w:r w:rsidRPr="00E7018D">
              <w:rPr>
                <w:rFonts w:asciiTheme="minorHAnsi" w:hAnsiTheme="minorHAnsi" w:cstheme="minorHAnsi"/>
                <w:color w:val="404040" w:themeColor="text1" w:themeTint="BF"/>
                <w:sz w:val="18"/>
              </w:rPr>
              <w:t>m</w:t>
            </w:r>
            <w:r w:rsidRPr="00E7018D">
              <w:rPr>
                <w:rFonts w:asciiTheme="minorHAnsi" w:hAnsiTheme="minorHAnsi" w:cstheme="minorHAnsi"/>
                <w:color w:val="404040" w:themeColor="text1" w:themeTint="BF"/>
                <w:sz w:val="18"/>
                <w:vertAlign w:val="superscript"/>
              </w:rPr>
              <w:t>2</w:t>
            </w:r>
            <w:r w:rsidRPr="00E7018D">
              <w:rPr>
                <w:rFonts w:asciiTheme="minorHAnsi" w:hAnsiTheme="minorHAnsi" w:cstheme="minorHAnsi"/>
                <w:color w:val="404040" w:themeColor="text1" w:themeTint="BF"/>
                <w:sz w:val="18"/>
              </w:rPr>
              <w:t>)</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651</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5"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4"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0</w:t>
            </w:r>
          </w:p>
        </w:tc>
        <w:tc>
          <w:tcPr>
            <w:tcW w:w="1145" w:type="dxa"/>
            <w:shd w:val="clear" w:color="auto" w:fill="auto"/>
          </w:tcPr>
          <w:p w:rsidR="00147AD9" w:rsidRPr="00E7018D" w:rsidRDefault="00147AD9"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651</w:t>
            </w:r>
          </w:p>
        </w:tc>
      </w:tr>
    </w:tbl>
    <w:p w:rsidR="00147AD9" w:rsidRPr="00147AD9" w:rsidRDefault="00147AD9" w:rsidP="00147AD9">
      <w:pPr>
        <w:rPr>
          <w:rFonts w:ascii="Calibri" w:hAnsi="Calibri" w:cs="Calibri"/>
          <w:b/>
          <w:sz w:val="6"/>
          <w:szCs w:val="6"/>
        </w:rPr>
      </w:pPr>
    </w:p>
    <w:p w:rsidR="00147AD9" w:rsidRPr="00CD6163" w:rsidRDefault="00AF195F" w:rsidP="000B3BAA">
      <w:pPr>
        <w:jc w:val="center"/>
        <w:rPr>
          <w:rFonts w:ascii="Calibri" w:hAnsi="Calibri" w:cs="Calibri"/>
          <w:sz w:val="20"/>
          <w:szCs w:val="18"/>
        </w:rPr>
      </w:pPr>
      <w:r w:rsidRPr="00CD6163">
        <w:rPr>
          <w:rFonts w:ascii="Calibri" w:hAnsi="Calibri" w:cs="Calibri"/>
          <w:b/>
          <w:sz w:val="20"/>
          <w:szCs w:val="18"/>
        </w:rPr>
        <w:t xml:space="preserve">Figure </w:t>
      </w:r>
      <w:r w:rsidR="00147AD9" w:rsidRPr="00CD6163">
        <w:rPr>
          <w:rFonts w:ascii="Calibri" w:hAnsi="Calibri" w:cs="Calibri"/>
          <w:b/>
          <w:sz w:val="20"/>
          <w:szCs w:val="18"/>
        </w:rPr>
        <w:t>3:</w:t>
      </w:r>
      <w:r w:rsidR="00147AD9" w:rsidRPr="00CD6163">
        <w:rPr>
          <w:rFonts w:ascii="Calibri" w:hAnsi="Calibri" w:cs="Calibri"/>
          <w:sz w:val="20"/>
          <w:szCs w:val="18"/>
        </w:rPr>
        <w:t xml:space="preserve"> </w:t>
      </w:r>
      <w:r w:rsidR="00EA6A1A" w:rsidRPr="00CD6163">
        <w:rPr>
          <w:rFonts w:asciiTheme="minorHAnsi" w:hAnsiTheme="minorHAnsi" w:cstheme="minorHAnsi"/>
          <w:sz w:val="20"/>
          <w:szCs w:val="18"/>
        </w:rPr>
        <w:t>Employment development</w:t>
      </w:r>
      <w:r w:rsidR="00EA6A1A" w:rsidRPr="00CD6163">
        <w:rPr>
          <w:rFonts w:asciiTheme="minorHAnsi" w:hAnsiTheme="minorHAnsi" w:cstheme="minorHAnsi"/>
          <w:sz w:val="20"/>
          <w:szCs w:val="18"/>
          <w:vertAlign w:val="superscript"/>
        </w:rPr>
        <w:t xml:space="preserve"> </w:t>
      </w:r>
      <w:r w:rsidR="00354A24" w:rsidRPr="00CD6163">
        <w:rPr>
          <w:rFonts w:asciiTheme="minorHAnsi" w:hAnsiTheme="minorHAnsi" w:cstheme="minorHAnsi"/>
          <w:sz w:val="20"/>
          <w:szCs w:val="18"/>
        </w:rPr>
        <w:t>completed</w:t>
      </w:r>
      <w:r w:rsidR="00EA6A1A" w:rsidRPr="00CD6163">
        <w:rPr>
          <w:rFonts w:asciiTheme="minorHAnsi" w:hAnsiTheme="minorHAnsi" w:cstheme="minorHAnsi"/>
          <w:sz w:val="20"/>
          <w:szCs w:val="18"/>
        </w:rPr>
        <w:t xml:space="preserve"> on allocated sites in 2013/14</w:t>
      </w:r>
    </w:p>
    <w:p w:rsidR="00354A24" w:rsidRPr="00CD6163" w:rsidRDefault="00354A24" w:rsidP="0091749C">
      <w:pPr>
        <w:autoSpaceDE w:val="0"/>
        <w:autoSpaceDN w:val="0"/>
        <w:adjustRightInd w:val="0"/>
        <w:jc w:val="both"/>
        <w:rPr>
          <w:rFonts w:ascii="Calibri" w:eastAsia="Calibri" w:hAnsi="Calibri" w:cs="Calibri"/>
          <w:color w:val="000000"/>
          <w:sz w:val="22"/>
          <w:szCs w:val="22"/>
        </w:rPr>
      </w:pPr>
    </w:p>
    <w:p w:rsidR="0058441A" w:rsidRPr="00CD6163" w:rsidRDefault="004E1070" w:rsidP="004335B5">
      <w:pPr>
        <w:numPr>
          <w:ilvl w:val="0"/>
          <w:numId w:val="8"/>
        </w:numPr>
        <w:spacing w:after="200" w:line="276" w:lineRule="auto"/>
        <w:jc w:val="both"/>
        <w:rPr>
          <w:rFonts w:ascii="Calibri" w:eastAsia="Calibri" w:hAnsi="Calibri" w:cs="Calibri"/>
          <w:color w:val="000000"/>
          <w:sz w:val="22"/>
          <w:szCs w:val="22"/>
        </w:rPr>
      </w:pPr>
      <w:r w:rsidRPr="00CD6163">
        <w:rPr>
          <w:rFonts w:ascii="Calibri" w:eastAsia="Calibri" w:hAnsi="Calibri" w:cs="Calibri"/>
          <w:color w:val="000000"/>
          <w:sz w:val="22"/>
          <w:szCs w:val="22"/>
        </w:rPr>
        <w:t>Although no employment developments were completed on allocated sites in 2013/14,</w:t>
      </w:r>
      <w:r w:rsidR="004E7BB4" w:rsidRPr="00CD6163">
        <w:rPr>
          <w:rFonts w:ascii="Calibri" w:eastAsia="Calibri" w:hAnsi="Calibri" w:cs="Calibri"/>
          <w:color w:val="000000"/>
          <w:sz w:val="22"/>
          <w:szCs w:val="22"/>
        </w:rPr>
        <w:t xml:space="preserve"> it is anticipated that the situation will improve in subsequent monitoring years. P</w:t>
      </w:r>
      <w:r w:rsidRPr="00CD6163">
        <w:rPr>
          <w:rFonts w:ascii="Calibri" w:eastAsia="Calibri" w:hAnsi="Calibri" w:cs="Calibri"/>
          <w:color w:val="000000"/>
          <w:sz w:val="22"/>
          <w:szCs w:val="22"/>
        </w:rPr>
        <w:t xml:space="preserve">lanning permission was granted </w:t>
      </w:r>
      <w:r w:rsidR="004E7BB4" w:rsidRPr="00CD6163">
        <w:rPr>
          <w:rFonts w:ascii="Calibri" w:eastAsia="Calibri" w:hAnsi="Calibri" w:cs="Calibri"/>
          <w:color w:val="000000"/>
          <w:sz w:val="22"/>
          <w:szCs w:val="22"/>
        </w:rPr>
        <w:t xml:space="preserve">in August 2014 </w:t>
      </w:r>
      <w:r w:rsidRPr="00CD6163">
        <w:rPr>
          <w:rFonts w:ascii="Calibri" w:eastAsia="Calibri" w:hAnsi="Calibri" w:cs="Calibri"/>
          <w:color w:val="000000"/>
          <w:sz w:val="22"/>
          <w:szCs w:val="22"/>
        </w:rPr>
        <w:t>for medical research fac</w:t>
      </w:r>
      <w:r w:rsidR="004E7BB4" w:rsidRPr="00CD6163">
        <w:rPr>
          <w:rFonts w:ascii="Calibri" w:eastAsia="Calibri" w:hAnsi="Calibri" w:cs="Calibri"/>
          <w:color w:val="000000"/>
          <w:sz w:val="22"/>
          <w:szCs w:val="22"/>
        </w:rPr>
        <w:t>ilities, including office space,</w:t>
      </w:r>
      <w:r w:rsidRPr="00CD6163">
        <w:rPr>
          <w:rFonts w:ascii="Calibri" w:eastAsia="Calibri" w:hAnsi="Calibri" w:cs="Calibri"/>
          <w:color w:val="000000"/>
          <w:sz w:val="22"/>
          <w:szCs w:val="22"/>
        </w:rPr>
        <w:t xml:space="preserve"> at the John Radcliffe Hospital (</w:t>
      </w:r>
      <w:r w:rsidR="009D4EB7" w:rsidRPr="00CD6163">
        <w:rPr>
          <w:rFonts w:ascii="Calibri" w:eastAsia="Calibri" w:hAnsi="Calibri" w:cs="Calibri"/>
          <w:color w:val="000000"/>
          <w:sz w:val="22"/>
          <w:szCs w:val="22"/>
        </w:rPr>
        <w:t xml:space="preserve">planning application reference </w:t>
      </w:r>
      <w:r w:rsidRPr="00CD6163">
        <w:rPr>
          <w:rFonts w:ascii="Calibri" w:eastAsia="Calibri" w:hAnsi="Calibri" w:cs="Calibri"/>
          <w:color w:val="000000"/>
          <w:sz w:val="22"/>
          <w:szCs w:val="22"/>
        </w:rPr>
        <w:t>13/03369/FUL)</w:t>
      </w:r>
      <w:r w:rsidR="009D4EB7" w:rsidRPr="00CD6163">
        <w:rPr>
          <w:rFonts w:ascii="Calibri" w:eastAsia="Calibri" w:hAnsi="Calibri" w:cs="Calibri"/>
          <w:color w:val="000000"/>
          <w:sz w:val="22"/>
          <w:szCs w:val="22"/>
        </w:rPr>
        <w:t xml:space="preserve">. Planning applications </w:t>
      </w:r>
      <w:r w:rsidR="004E7BB4" w:rsidRPr="00CD6163">
        <w:rPr>
          <w:rFonts w:ascii="Calibri" w:eastAsia="Calibri" w:hAnsi="Calibri" w:cs="Calibri"/>
          <w:color w:val="000000"/>
          <w:sz w:val="22"/>
          <w:szCs w:val="22"/>
        </w:rPr>
        <w:t xml:space="preserve">for the Former Travis Perkins Site on Chapel Road and </w:t>
      </w:r>
      <w:proofErr w:type="spellStart"/>
      <w:r w:rsidR="004E7BB4" w:rsidRPr="00CD6163">
        <w:rPr>
          <w:rFonts w:ascii="Calibri" w:eastAsia="Calibri" w:hAnsi="Calibri" w:cs="Calibri"/>
          <w:color w:val="000000"/>
          <w:sz w:val="22"/>
          <w:szCs w:val="22"/>
        </w:rPr>
        <w:t>Wolvercote</w:t>
      </w:r>
      <w:proofErr w:type="spellEnd"/>
      <w:r w:rsidR="004E7BB4" w:rsidRPr="00CD6163">
        <w:rPr>
          <w:rFonts w:ascii="Calibri" w:eastAsia="Calibri" w:hAnsi="Calibri" w:cs="Calibri"/>
          <w:color w:val="000000"/>
          <w:sz w:val="22"/>
          <w:szCs w:val="22"/>
        </w:rPr>
        <w:t xml:space="preserve"> Paper Mill were </w:t>
      </w:r>
      <w:r w:rsidR="009D4EB7" w:rsidRPr="00CD6163">
        <w:rPr>
          <w:rFonts w:ascii="Calibri" w:eastAsia="Calibri" w:hAnsi="Calibri" w:cs="Calibri"/>
          <w:color w:val="000000"/>
          <w:sz w:val="22"/>
          <w:szCs w:val="22"/>
        </w:rPr>
        <w:t xml:space="preserve">also </w:t>
      </w:r>
      <w:r w:rsidR="004E7BB4" w:rsidRPr="00CD6163">
        <w:rPr>
          <w:rFonts w:ascii="Calibri" w:eastAsia="Calibri" w:hAnsi="Calibri" w:cs="Calibri"/>
          <w:color w:val="000000"/>
          <w:sz w:val="22"/>
          <w:szCs w:val="22"/>
        </w:rPr>
        <w:t>under consideration</w:t>
      </w:r>
      <w:r w:rsidR="009D4EB7" w:rsidRPr="00CD6163">
        <w:rPr>
          <w:rFonts w:ascii="Calibri" w:eastAsia="Calibri" w:hAnsi="Calibri" w:cs="Calibri"/>
          <w:color w:val="000000"/>
          <w:sz w:val="22"/>
          <w:szCs w:val="22"/>
        </w:rPr>
        <w:t xml:space="preserve"> at the</w:t>
      </w:r>
      <w:r w:rsidR="00CD6163" w:rsidRPr="00CD6163">
        <w:rPr>
          <w:rFonts w:ascii="Calibri" w:eastAsia="Calibri" w:hAnsi="Calibri" w:cs="Calibri"/>
          <w:color w:val="000000"/>
          <w:sz w:val="22"/>
          <w:szCs w:val="22"/>
        </w:rPr>
        <w:t xml:space="preserve"> time of writing, with b</w:t>
      </w:r>
      <w:r w:rsidR="004E7BB4" w:rsidRPr="00CD6163">
        <w:rPr>
          <w:rFonts w:ascii="Calibri" w:eastAsia="Calibri" w:hAnsi="Calibri" w:cs="Calibri"/>
          <w:color w:val="000000"/>
          <w:sz w:val="22"/>
          <w:szCs w:val="22"/>
        </w:rPr>
        <w:t xml:space="preserve">oth </w:t>
      </w:r>
      <w:r w:rsidR="00CD6163" w:rsidRPr="00CD6163">
        <w:rPr>
          <w:rFonts w:ascii="Calibri" w:eastAsia="Calibri" w:hAnsi="Calibri" w:cs="Calibri"/>
          <w:color w:val="000000"/>
          <w:sz w:val="22"/>
          <w:szCs w:val="22"/>
        </w:rPr>
        <w:t>applications including</w:t>
      </w:r>
      <w:r w:rsidR="009D4EB7" w:rsidRPr="00CD6163">
        <w:rPr>
          <w:rFonts w:ascii="Calibri" w:eastAsia="Calibri" w:hAnsi="Calibri" w:cs="Calibri"/>
          <w:color w:val="000000"/>
          <w:sz w:val="22"/>
          <w:szCs w:val="22"/>
        </w:rPr>
        <w:t xml:space="preserve"> </w:t>
      </w:r>
      <w:r w:rsidR="004E7BB4" w:rsidRPr="00CD6163">
        <w:rPr>
          <w:rFonts w:ascii="Calibri" w:eastAsia="Calibri" w:hAnsi="Calibri" w:cs="Calibri"/>
          <w:color w:val="000000"/>
          <w:sz w:val="22"/>
          <w:szCs w:val="22"/>
        </w:rPr>
        <w:t>employment uses.</w:t>
      </w:r>
      <w:r w:rsidR="0085348D" w:rsidRPr="00CD6163">
        <w:rPr>
          <w:rFonts w:ascii="Calibri" w:eastAsia="Calibri" w:hAnsi="Calibri" w:cs="Calibri"/>
          <w:color w:val="000000"/>
          <w:sz w:val="22"/>
          <w:szCs w:val="22"/>
        </w:rPr>
        <w:t xml:space="preserve"> </w:t>
      </w:r>
    </w:p>
    <w:p w:rsidR="0091749C" w:rsidRPr="00DF405C" w:rsidRDefault="00EA6A1A" w:rsidP="0091749C">
      <w:pPr>
        <w:autoSpaceDE w:val="0"/>
        <w:autoSpaceDN w:val="0"/>
        <w:adjustRightInd w:val="0"/>
        <w:jc w:val="both"/>
        <w:rPr>
          <w:rFonts w:ascii="Calibri" w:eastAsia="Calibri" w:hAnsi="Calibri" w:cs="Calibri"/>
          <w:color w:val="244061" w:themeColor="accent1" w:themeShade="80"/>
        </w:rPr>
      </w:pPr>
      <w:r>
        <w:rPr>
          <w:noProof/>
          <w:lang w:eastAsia="en-GB"/>
        </w:rPr>
        <mc:AlternateContent>
          <mc:Choice Requires="wps">
            <w:drawing>
              <wp:anchor distT="0" distB="0" distL="114300" distR="114300" simplePos="0" relativeHeight="251667456" behindDoc="1" locked="0" layoutInCell="1" allowOverlap="1" wp14:anchorId="193AC0A9" wp14:editId="7DFDD52E">
                <wp:simplePos x="0" y="0"/>
                <wp:positionH relativeFrom="column">
                  <wp:posOffset>-66675</wp:posOffset>
                </wp:positionH>
                <wp:positionV relativeFrom="paragraph">
                  <wp:posOffset>-17521</wp:posOffset>
                </wp:positionV>
                <wp:extent cx="5829300" cy="1762125"/>
                <wp:effectExtent l="0" t="0" r="0" b="9525"/>
                <wp:wrapNone/>
                <wp:docPr id="41" name="Rectangle 41"/>
                <wp:cNvGraphicFramePr/>
                <a:graphic xmlns:a="http://schemas.openxmlformats.org/drawingml/2006/main">
                  <a:graphicData uri="http://schemas.microsoft.com/office/word/2010/wordprocessingShape">
                    <wps:wsp>
                      <wps:cNvSpPr/>
                      <wps:spPr>
                        <a:xfrm>
                          <a:off x="0" y="0"/>
                          <a:ext cx="5829300" cy="176212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5.25pt;margin-top:-1.4pt;width:459pt;height:13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" fillcolor="#dbeef4" stroked="f" strokeweight="2pt"/>
            </w:pict>
          </mc:Fallback>
        </mc:AlternateContent>
      </w:r>
      <w:r w:rsidR="0091749C">
        <w:rPr>
          <w:rFonts w:ascii="Calibri" w:eastAsia="Calibri" w:hAnsi="Calibri" w:cs="Calibri"/>
          <w:b/>
          <w:color w:val="244061" w:themeColor="accent1" w:themeShade="80"/>
        </w:rPr>
        <w:t>I</w:t>
      </w:r>
      <w:r w:rsidR="0091749C" w:rsidRPr="00670AA8">
        <w:rPr>
          <w:rFonts w:ascii="Calibri" w:eastAsia="Calibri" w:hAnsi="Calibri" w:cs="Calibri"/>
          <w:b/>
          <w:color w:val="244061" w:themeColor="accent1" w:themeShade="80"/>
        </w:rPr>
        <w:t>ndicator</w:t>
      </w:r>
      <w:r w:rsidR="0091749C">
        <w:rPr>
          <w:rFonts w:ascii="Calibri" w:eastAsia="Calibri" w:hAnsi="Calibri" w:cs="Calibri"/>
          <w:b/>
          <w:color w:val="244061" w:themeColor="accent1" w:themeShade="80"/>
        </w:rPr>
        <w:t xml:space="preserve"> 5: PLANNING PERMISSIONS FOR NEW CLASS B1 USES</w:t>
      </w:r>
    </w:p>
    <w:p w:rsidR="0091749C" w:rsidRPr="00670AA8" w:rsidRDefault="0091749C" w:rsidP="0091749C">
      <w:pPr>
        <w:autoSpaceDE w:val="0"/>
        <w:autoSpaceDN w:val="0"/>
        <w:adjustRightInd w:val="0"/>
        <w:jc w:val="both"/>
        <w:rPr>
          <w:rFonts w:ascii="Calibri" w:eastAsia="Calibri" w:hAnsi="Calibri" w:cs="Calibri"/>
          <w:b/>
          <w:color w:val="244061" w:themeColor="accent1" w:themeShade="80"/>
          <w:sz w:val="10"/>
          <w:szCs w:val="22"/>
        </w:rPr>
      </w:pPr>
    </w:p>
    <w:p w:rsidR="0091749C" w:rsidRDefault="0091749C" w:rsidP="0091749C">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Strengthen and diversify the economy and provide a range of employment opportunities </w:t>
      </w:r>
      <w:r w:rsidR="00ED365D" w:rsidRPr="00ED365D">
        <w:rPr>
          <w:rFonts w:ascii="Calibri" w:eastAsia="Calibri" w:hAnsi="Calibri" w:cs="Calibri"/>
          <w:color w:val="244061" w:themeColor="accent1" w:themeShade="80"/>
          <w:sz w:val="20"/>
          <w:szCs w:val="22"/>
        </w:rPr>
        <w:t>(Oxford Core Strategy Policy CS27)</w:t>
      </w:r>
    </w:p>
    <w:p w:rsidR="0091749C" w:rsidRDefault="0091749C" w:rsidP="0091749C">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91749C" w:rsidTr="00682A91">
        <w:trPr>
          <w:trHeight w:val="218"/>
        </w:trPr>
        <w:tc>
          <w:tcPr>
            <w:tcW w:w="5420" w:type="dxa"/>
          </w:tcPr>
          <w:p w:rsidR="00147AD9" w:rsidRPr="00147AD9"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against target 2013/14:</w:t>
            </w:r>
          </w:p>
        </w:tc>
        <w:tc>
          <w:tcPr>
            <w:tcW w:w="3714" w:type="dxa"/>
            <w:gridSpan w:val="2"/>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91749C" w:rsidTr="00682A91">
        <w:tc>
          <w:tcPr>
            <w:tcW w:w="5420" w:type="dxa"/>
            <w:vMerge w:val="restart"/>
          </w:tcPr>
          <w:p w:rsidR="0091749C" w:rsidRPr="00E523A6" w:rsidRDefault="0091749C" w:rsidP="00682A91">
            <w:pPr>
              <w:autoSpaceDE w:val="0"/>
              <w:autoSpaceDN w:val="0"/>
              <w:adjustRightInd w:val="0"/>
              <w:jc w:val="center"/>
              <w:rPr>
                <w:rFonts w:ascii="Calibri" w:eastAsia="Calibri" w:hAnsi="Calibri" w:cs="Calibri"/>
                <w:b/>
                <w:color w:val="244061" w:themeColor="accent1" w:themeShade="80"/>
                <w:sz w:val="8"/>
                <w:szCs w:val="8"/>
              </w:rPr>
            </w:pPr>
          </w:p>
          <w:p w:rsidR="0091749C" w:rsidRPr="00742A00" w:rsidRDefault="00901791" w:rsidP="00682A91">
            <w:pPr>
              <w:autoSpaceDE w:val="0"/>
              <w:autoSpaceDN w:val="0"/>
              <w:adjustRightInd w:val="0"/>
              <w:jc w:val="center"/>
              <w:rPr>
                <w:rFonts w:ascii="Calibri" w:eastAsia="Calibri" w:hAnsi="Calibri" w:cs="Calibri"/>
                <w:b/>
                <w:color w:val="244061" w:themeColor="accent1" w:themeShade="80"/>
                <w:sz w:val="12"/>
                <w:szCs w:val="12"/>
              </w:rPr>
            </w:pPr>
            <w:r>
              <w:rPr>
                <w:b/>
                <w:noProof/>
                <w:sz w:val="32"/>
                <w:szCs w:val="32"/>
                <w:lang w:eastAsia="en-GB"/>
              </w:rPr>
              <w:drawing>
                <wp:inline distT="0" distB="0" distL="0" distR="0" wp14:anchorId="0DE831FC" wp14:editId="1FD25628">
                  <wp:extent cx="1619250" cy="504996"/>
                  <wp:effectExtent l="0" t="0" r="0" b="9525"/>
                  <wp:docPr id="232" name="Picture 23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noProof/>
                <w:lang w:eastAsia="en-GB"/>
              </w:rPr>
              <w:drawing>
                <wp:inline distT="0" distB="0" distL="0" distR="0" wp14:anchorId="63400C8E" wp14:editId="2B2E7D20">
                  <wp:extent cx="1085850" cy="314173"/>
                  <wp:effectExtent l="0" t="0" r="0" b="0"/>
                  <wp:docPr id="40" name="Picture 40"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4182" cy="313690"/>
                          </a:xfrm>
                          <a:prstGeom prst="rect">
                            <a:avLst/>
                          </a:prstGeom>
                          <a:noFill/>
                          <a:ln>
                            <a:noFill/>
                          </a:ln>
                        </pic:spPr>
                      </pic:pic>
                    </a:graphicData>
                  </a:graphic>
                </wp:inline>
              </w:drawing>
            </w:r>
          </w:p>
          <w:p w:rsidR="0091749C" w:rsidRPr="00E523A6" w:rsidRDefault="0091749C" w:rsidP="00682A91">
            <w:pPr>
              <w:autoSpaceDE w:val="0"/>
              <w:autoSpaceDN w:val="0"/>
              <w:adjustRightInd w:val="0"/>
              <w:jc w:val="center"/>
              <w:rPr>
                <w:rFonts w:ascii="Calibri" w:eastAsia="Calibri" w:hAnsi="Calibri" w:cs="Calibri"/>
                <w:b/>
                <w:color w:val="244061" w:themeColor="accent1" w:themeShade="80"/>
                <w:sz w:val="8"/>
                <w:szCs w:val="8"/>
              </w:rPr>
            </w:pPr>
          </w:p>
        </w:tc>
      </w:tr>
      <w:tr w:rsidR="0091749C" w:rsidTr="00682A91">
        <w:tc>
          <w:tcPr>
            <w:tcW w:w="5420" w:type="dxa"/>
            <w:vMerge/>
          </w:tcPr>
          <w:p w:rsidR="0091749C" w:rsidRDefault="0091749C"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91749C" w:rsidRDefault="0091749C"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318310CA" wp14:editId="0C27D8E6">
                  <wp:extent cx="1085850" cy="338644"/>
                  <wp:effectExtent l="0" t="0" r="0" b="4445"/>
                  <wp:docPr id="39" name="Picture 39"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923530" w:rsidRDefault="00923530" w:rsidP="00923530">
      <w:pPr>
        <w:rPr>
          <w:rFonts w:ascii="Calibri" w:eastAsia="Calibri" w:hAnsi="Calibri" w:cs="Calibri"/>
          <w:color w:val="000000"/>
          <w:sz w:val="22"/>
          <w:szCs w:val="22"/>
        </w:rPr>
      </w:pPr>
    </w:p>
    <w:p w:rsidR="00BE2B37" w:rsidRDefault="00BE2B37" w:rsidP="00923530">
      <w:pPr>
        <w:rPr>
          <w:rFonts w:ascii="Calibri" w:eastAsia="Calibri" w:hAnsi="Calibri" w:cs="Calibri"/>
          <w:color w:val="000000"/>
          <w:sz w:val="22"/>
          <w:szCs w:val="22"/>
        </w:rPr>
      </w:pPr>
    </w:p>
    <w:tbl>
      <w:tblPr>
        <w:tblStyle w:val="TableGrid"/>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310"/>
        <w:gridCol w:w="2311"/>
        <w:gridCol w:w="2310"/>
        <w:gridCol w:w="2311"/>
      </w:tblGrid>
      <w:tr w:rsidR="007A1DE2" w:rsidTr="007A1DE2">
        <w:tc>
          <w:tcPr>
            <w:tcW w:w="2310" w:type="dxa"/>
          </w:tcPr>
          <w:p w:rsidR="007A1DE2" w:rsidRPr="00E7018D" w:rsidRDefault="007A1DE2"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Monitoring Year</w:t>
            </w:r>
          </w:p>
        </w:tc>
        <w:tc>
          <w:tcPr>
            <w:tcW w:w="2311" w:type="dxa"/>
          </w:tcPr>
          <w:p w:rsidR="007A1DE2" w:rsidRPr="00E7018D" w:rsidRDefault="007A1DE2" w:rsidP="00F74D36">
            <w:pPr>
              <w:jc w:val="center"/>
              <w:rPr>
                <w:rFonts w:asciiTheme="minorHAnsi" w:hAnsiTheme="minorHAnsi" w:cstheme="minorHAnsi"/>
                <w:color w:val="404040" w:themeColor="text1" w:themeTint="BF"/>
                <w:sz w:val="16"/>
              </w:rPr>
            </w:pPr>
            <w:r w:rsidRPr="00E7018D">
              <w:rPr>
                <w:rFonts w:asciiTheme="minorHAnsi" w:hAnsiTheme="minorHAnsi" w:cstheme="minorHAnsi"/>
                <w:b/>
                <w:color w:val="404040" w:themeColor="text1" w:themeTint="BF"/>
                <w:sz w:val="20"/>
              </w:rPr>
              <w:t xml:space="preserve">B1a </w:t>
            </w:r>
          </w:p>
          <w:p w:rsidR="007A1DE2" w:rsidRPr="00E7018D" w:rsidRDefault="007A1DE2" w:rsidP="00F74D36">
            <w:pPr>
              <w:jc w:val="center"/>
              <w:rPr>
                <w:rFonts w:asciiTheme="minorHAnsi" w:hAnsiTheme="minorHAnsi" w:cstheme="minorHAnsi"/>
                <w:color w:val="404040" w:themeColor="text1" w:themeTint="BF"/>
                <w:sz w:val="18"/>
              </w:rPr>
            </w:pPr>
            <w:r>
              <w:rPr>
                <w:rFonts w:asciiTheme="minorHAnsi" w:hAnsiTheme="minorHAnsi" w:cstheme="minorHAnsi"/>
                <w:color w:val="404040" w:themeColor="text1" w:themeTint="BF"/>
                <w:sz w:val="18"/>
              </w:rPr>
              <w:t>(O</w:t>
            </w:r>
            <w:r w:rsidRPr="00E7018D">
              <w:rPr>
                <w:rFonts w:asciiTheme="minorHAnsi" w:hAnsiTheme="minorHAnsi" w:cstheme="minorHAnsi"/>
                <w:color w:val="404040" w:themeColor="text1" w:themeTint="BF"/>
                <w:sz w:val="18"/>
              </w:rPr>
              <w:t>ffices)</w:t>
            </w:r>
          </w:p>
        </w:tc>
        <w:tc>
          <w:tcPr>
            <w:tcW w:w="2310" w:type="dxa"/>
          </w:tcPr>
          <w:p w:rsidR="007A1DE2" w:rsidRPr="00E7018D" w:rsidRDefault="007A1DE2" w:rsidP="00F74D36">
            <w:pPr>
              <w:jc w:val="center"/>
              <w:rPr>
                <w:rFonts w:asciiTheme="minorHAnsi" w:hAnsiTheme="minorHAnsi" w:cstheme="minorHAnsi"/>
                <w:color w:val="404040" w:themeColor="text1" w:themeTint="BF"/>
                <w:sz w:val="16"/>
              </w:rPr>
            </w:pPr>
            <w:r w:rsidRPr="00E7018D">
              <w:rPr>
                <w:rFonts w:asciiTheme="minorHAnsi" w:hAnsiTheme="minorHAnsi" w:cstheme="minorHAnsi"/>
                <w:b/>
                <w:color w:val="404040" w:themeColor="text1" w:themeTint="BF"/>
                <w:sz w:val="20"/>
              </w:rPr>
              <w:t>B1b</w:t>
            </w:r>
            <w:r w:rsidRPr="00E7018D">
              <w:rPr>
                <w:rFonts w:asciiTheme="minorHAnsi" w:hAnsiTheme="minorHAnsi" w:cstheme="minorHAnsi"/>
                <w:b/>
                <w:color w:val="404040" w:themeColor="text1" w:themeTint="BF"/>
                <w:sz w:val="18"/>
              </w:rPr>
              <w:t xml:space="preserve"> </w:t>
            </w:r>
          </w:p>
          <w:p w:rsidR="007A1DE2" w:rsidRPr="00E7018D" w:rsidRDefault="007A1DE2" w:rsidP="00F72AE9">
            <w:pPr>
              <w:jc w:val="center"/>
              <w:rPr>
                <w:rFonts w:asciiTheme="minorHAnsi" w:hAnsiTheme="minorHAnsi" w:cstheme="minorHAnsi"/>
                <w:b/>
                <w:color w:val="404040" w:themeColor="text1" w:themeTint="BF"/>
                <w:sz w:val="20"/>
              </w:rPr>
            </w:pPr>
            <w:r w:rsidRPr="00E7018D">
              <w:rPr>
                <w:rFonts w:asciiTheme="minorHAnsi" w:hAnsiTheme="minorHAnsi" w:cstheme="minorHAnsi"/>
                <w:color w:val="404040" w:themeColor="text1" w:themeTint="BF"/>
                <w:sz w:val="18"/>
              </w:rPr>
              <w:t>(</w:t>
            </w:r>
            <w:r>
              <w:rPr>
                <w:rFonts w:asciiTheme="minorHAnsi" w:hAnsiTheme="minorHAnsi" w:cstheme="minorHAnsi"/>
                <w:color w:val="404040" w:themeColor="text1" w:themeTint="BF"/>
                <w:sz w:val="18"/>
              </w:rPr>
              <w:t>R</w:t>
            </w:r>
            <w:r w:rsidRPr="00E7018D">
              <w:rPr>
                <w:rFonts w:asciiTheme="minorHAnsi" w:hAnsiTheme="minorHAnsi" w:cstheme="minorHAnsi"/>
                <w:color w:val="404040" w:themeColor="text1" w:themeTint="BF"/>
                <w:sz w:val="18"/>
              </w:rPr>
              <w:t>esearch + development)</w:t>
            </w:r>
          </w:p>
        </w:tc>
        <w:tc>
          <w:tcPr>
            <w:tcW w:w="2311" w:type="dxa"/>
          </w:tcPr>
          <w:p w:rsidR="007A1DE2" w:rsidRPr="00E7018D" w:rsidRDefault="007A1DE2" w:rsidP="000F6092">
            <w:pPr>
              <w:jc w:val="center"/>
              <w:rPr>
                <w:rFonts w:asciiTheme="minorHAnsi" w:hAnsiTheme="minorHAnsi" w:cstheme="minorHAnsi"/>
                <w:color w:val="404040" w:themeColor="text1" w:themeTint="BF"/>
                <w:sz w:val="16"/>
              </w:rPr>
            </w:pPr>
            <w:r w:rsidRPr="00E7018D">
              <w:rPr>
                <w:rFonts w:asciiTheme="minorHAnsi" w:hAnsiTheme="minorHAnsi" w:cstheme="minorHAnsi"/>
                <w:b/>
                <w:color w:val="404040" w:themeColor="text1" w:themeTint="BF"/>
                <w:sz w:val="20"/>
              </w:rPr>
              <w:t xml:space="preserve">B1c </w:t>
            </w:r>
          </w:p>
          <w:p w:rsidR="007A1DE2" w:rsidRPr="00E7018D" w:rsidRDefault="007A1DE2" w:rsidP="00F74D36">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18"/>
              </w:rPr>
              <w:t>(</w:t>
            </w:r>
            <w:r>
              <w:rPr>
                <w:rFonts w:asciiTheme="minorHAnsi" w:hAnsiTheme="minorHAnsi" w:cstheme="minorHAnsi"/>
                <w:color w:val="404040" w:themeColor="text1" w:themeTint="BF"/>
                <w:sz w:val="18"/>
              </w:rPr>
              <w:t>L</w:t>
            </w:r>
            <w:r w:rsidRPr="00E7018D">
              <w:rPr>
                <w:rFonts w:asciiTheme="minorHAnsi" w:hAnsiTheme="minorHAnsi" w:cstheme="minorHAnsi"/>
                <w:color w:val="404040" w:themeColor="text1" w:themeTint="BF"/>
                <w:sz w:val="18"/>
              </w:rPr>
              <w:t>ight industry)</w:t>
            </w:r>
          </w:p>
        </w:tc>
      </w:tr>
      <w:tr w:rsidR="007A1DE2" w:rsidTr="007A1DE2">
        <w:tc>
          <w:tcPr>
            <w:tcW w:w="2310" w:type="dxa"/>
            <w:shd w:val="clear" w:color="auto" w:fill="DBE5F1" w:themeFill="accent1" w:themeFillTint="33"/>
          </w:tcPr>
          <w:p w:rsidR="007A1DE2" w:rsidRPr="00E7018D" w:rsidRDefault="007A1DE2"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2013/14</w:t>
            </w:r>
            <w:r>
              <w:rPr>
                <w:rFonts w:asciiTheme="minorHAnsi" w:hAnsiTheme="minorHAnsi" w:cstheme="minorHAnsi"/>
                <w:b/>
                <w:color w:val="404040" w:themeColor="text1" w:themeTint="BF"/>
                <w:sz w:val="20"/>
              </w:rPr>
              <w:t xml:space="preserve"> </w:t>
            </w:r>
            <w:r w:rsidRPr="00E7018D">
              <w:rPr>
                <w:rFonts w:asciiTheme="minorHAnsi" w:hAnsiTheme="minorHAnsi" w:cstheme="minorHAnsi"/>
                <w:color w:val="404040" w:themeColor="text1" w:themeTint="BF"/>
                <w:sz w:val="18"/>
                <w:szCs w:val="18"/>
              </w:rPr>
              <w:t>(</w:t>
            </w:r>
            <w:proofErr w:type="spellStart"/>
            <w:r w:rsidRPr="00E7018D">
              <w:rPr>
                <w:rFonts w:asciiTheme="minorHAnsi" w:hAnsiTheme="minorHAnsi" w:cstheme="minorHAnsi"/>
                <w:color w:val="404040" w:themeColor="text1" w:themeTint="BF"/>
                <w:sz w:val="18"/>
                <w:szCs w:val="18"/>
              </w:rPr>
              <w:t>floorspace</w:t>
            </w:r>
            <w:proofErr w:type="spellEnd"/>
            <w:r w:rsidRPr="00E7018D">
              <w:rPr>
                <w:rFonts w:asciiTheme="minorHAnsi" w:hAnsiTheme="minorHAnsi" w:cstheme="minorHAnsi"/>
                <w:color w:val="404040" w:themeColor="text1" w:themeTint="BF"/>
                <w:sz w:val="18"/>
                <w:szCs w:val="18"/>
              </w:rPr>
              <w:t xml:space="preserve"> m</w:t>
            </w:r>
            <w:r w:rsidRPr="00E7018D">
              <w:rPr>
                <w:rFonts w:asciiTheme="minorHAnsi" w:hAnsiTheme="minorHAnsi" w:cstheme="minorHAnsi"/>
                <w:color w:val="404040" w:themeColor="text1" w:themeTint="BF"/>
                <w:sz w:val="18"/>
                <w:szCs w:val="18"/>
                <w:vertAlign w:val="superscript"/>
              </w:rPr>
              <w:t>2</w:t>
            </w:r>
            <w:r w:rsidRPr="00E7018D">
              <w:rPr>
                <w:rFonts w:asciiTheme="minorHAnsi" w:hAnsiTheme="minorHAnsi" w:cstheme="minorHAnsi"/>
                <w:color w:val="404040" w:themeColor="text1" w:themeTint="BF"/>
                <w:sz w:val="18"/>
                <w:szCs w:val="18"/>
              </w:rPr>
              <w:t>)</w:t>
            </w:r>
          </w:p>
        </w:tc>
        <w:tc>
          <w:tcPr>
            <w:tcW w:w="2311" w:type="dxa"/>
            <w:shd w:val="clear" w:color="auto" w:fill="DBE5F1" w:themeFill="accent1" w:themeFillTint="33"/>
          </w:tcPr>
          <w:p w:rsidR="007A1DE2" w:rsidRPr="00E7018D" w:rsidRDefault="007A1DE2" w:rsidP="000F6092">
            <w:pPr>
              <w:jc w:val="center"/>
              <w:rPr>
                <w:rFonts w:asciiTheme="minorHAnsi" w:hAnsiTheme="minorHAnsi" w:cstheme="minorHAnsi"/>
                <w:b/>
                <w:color w:val="404040" w:themeColor="text1" w:themeTint="BF"/>
                <w:sz w:val="18"/>
              </w:rPr>
            </w:pPr>
            <w:r w:rsidRPr="00E7018D">
              <w:rPr>
                <w:rFonts w:asciiTheme="minorHAnsi" w:hAnsiTheme="minorHAnsi" w:cstheme="minorHAnsi"/>
                <w:b/>
                <w:color w:val="404040" w:themeColor="text1" w:themeTint="BF"/>
                <w:sz w:val="18"/>
              </w:rPr>
              <w:t>263</w:t>
            </w:r>
          </w:p>
        </w:tc>
        <w:tc>
          <w:tcPr>
            <w:tcW w:w="2310" w:type="dxa"/>
            <w:shd w:val="clear" w:color="auto" w:fill="DBE5F1" w:themeFill="accent1" w:themeFillTint="33"/>
          </w:tcPr>
          <w:p w:rsidR="007A1DE2" w:rsidRPr="00E7018D" w:rsidRDefault="007A1DE2" w:rsidP="007B632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c>
          <w:tcPr>
            <w:tcW w:w="2311" w:type="dxa"/>
            <w:shd w:val="clear" w:color="auto" w:fill="DBE5F1" w:themeFill="accent1" w:themeFillTint="33"/>
          </w:tcPr>
          <w:p w:rsidR="007A1DE2" w:rsidRPr="00E7018D" w:rsidRDefault="007A1DE2" w:rsidP="007B632F">
            <w:pPr>
              <w:jc w:val="center"/>
              <w:rPr>
                <w:rFonts w:asciiTheme="minorHAnsi" w:hAnsiTheme="minorHAnsi" w:cstheme="minorHAnsi"/>
                <w:b/>
                <w:color w:val="404040" w:themeColor="text1" w:themeTint="BF"/>
                <w:sz w:val="18"/>
              </w:rPr>
            </w:pPr>
            <w:r w:rsidRPr="00E7018D">
              <w:rPr>
                <w:rFonts w:asciiTheme="minorHAnsi" w:hAnsiTheme="minorHAnsi" w:cstheme="minorHAnsi"/>
                <w:b/>
                <w:color w:val="404040" w:themeColor="text1" w:themeTint="BF"/>
                <w:sz w:val="18"/>
              </w:rPr>
              <w:t>-</w:t>
            </w:r>
          </w:p>
        </w:tc>
      </w:tr>
      <w:tr w:rsidR="007A1DE2" w:rsidTr="007A1DE2">
        <w:tc>
          <w:tcPr>
            <w:tcW w:w="2310" w:type="dxa"/>
          </w:tcPr>
          <w:p w:rsidR="007A1DE2" w:rsidRPr="00E7018D" w:rsidRDefault="007A1DE2"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2012/13</w:t>
            </w:r>
            <w:r w:rsidRPr="00E7018D">
              <w:rPr>
                <w:rFonts w:asciiTheme="minorHAnsi" w:hAnsiTheme="minorHAnsi" w:cstheme="minorHAnsi"/>
                <w:color w:val="404040" w:themeColor="text1" w:themeTint="BF"/>
                <w:sz w:val="18"/>
                <w:szCs w:val="18"/>
              </w:rPr>
              <w:t>(</w:t>
            </w:r>
            <w:proofErr w:type="spellStart"/>
            <w:r w:rsidRPr="00E7018D">
              <w:rPr>
                <w:rFonts w:asciiTheme="minorHAnsi" w:hAnsiTheme="minorHAnsi" w:cstheme="minorHAnsi"/>
                <w:color w:val="404040" w:themeColor="text1" w:themeTint="BF"/>
                <w:sz w:val="18"/>
                <w:szCs w:val="18"/>
              </w:rPr>
              <w:t>floorspace</w:t>
            </w:r>
            <w:proofErr w:type="spellEnd"/>
            <w:r w:rsidRPr="00E7018D">
              <w:rPr>
                <w:rFonts w:asciiTheme="minorHAnsi" w:hAnsiTheme="minorHAnsi" w:cstheme="minorHAnsi"/>
                <w:color w:val="404040" w:themeColor="text1" w:themeTint="BF"/>
                <w:sz w:val="18"/>
                <w:szCs w:val="18"/>
              </w:rPr>
              <w:t xml:space="preserve"> m</w:t>
            </w:r>
            <w:r w:rsidRPr="00E7018D">
              <w:rPr>
                <w:rFonts w:asciiTheme="minorHAnsi" w:hAnsiTheme="minorHAnsi" w:cstheme="minorHAnsi"/>
                <w:color w:val="404040" w:themeColor="text1" w:themeTint="BF"/>
                <w:sz w:val="18"/>
                <w:szCs w:val="18"/>
                <w:vertAlign w:val="superscript"/>
              </w:rPr>
              <w:t>2</w:t>
            </w:r>
            <w:r w:rsidRPr="00E7018D">
              <w:rPr>
                <w:rFonts w:asciiTheme="minorHAnsi" w:hAnsiTheme="minorHAnsi" w:cstheme="minorHAnsi"/>
                <w:color w:val="404040" w:themeColor="text1" w:themeTint="BF"/>
                <w:sz w:val="18"/>
                <w:szCs w:val="18"/>
              </w:rPr>
              <w:t>)</w:t>
            </w:r>
          </w:p>
        </w:tc>
        <w:tc>
          <w:tcPr>
            <w:tcW w:w="2311" w:type="dxa"/>
          </w:tcPr>
          <w:p w:rsidR="007A1DE2" w:rsidRPr="00E7018D" w:rsidRDefault="007A1DE2" w:rsidP="007B632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c>
          <w:tcPr>
            <w:tcW w:w="2310" w:type="dxa"/>
          </w:tcPr>
          <w:p w:rsidR="007A1DE2" w:rsidRPr="00E7018D" w:rsidRDefault="007A1DE2" w:rsidP="007B632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c>
          <w:tcPr>
            <w:tcW w:w="2311" w:type="dxa"/>
          </w:tcPr>
          <w:p w:rsidR="007A1DE2" w:rsidRPr="00E7018D" w:rsidRDefault="007A1DE2" w:rsidP="007B632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r>
      <w:tr w:rsidR="007A1DE2" w:rsidTr="007A1DE2">
        <w:tc>
          <w:tcPr>
            <w:tcW w:w="2310" w:type="dxa"/>
          </w:tcPr>
          <w:p w:rsidR="007A1DE2" w:rsidRPr="00E7018D" w:rsidRDefault="007A1DE2"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2011/12</w:t>
            </w:r>
            <w:r>
              <w:rPr>
                <w:rFonts w:asciiTheme="minorHAnsi" w:hAnsiTheme="minorHAnsi" w:cstheme="minorHAnsi"/>
                <w:color w:val="404040" w:themeColor="text1" w:themeTint="BF"/>
                <w:sz w:val="20"/>
              </w:rPr>
              <w:t xml:space="preserve"> </w:t>
            </w:r>
            <w:r w:rsidRPr="00E7018D">
              <w:rPr>
                <w:rFonts w:asciiTheme="minorHAnsi" w:hAnsiTheme="minorHAnsi" w:cstheme="minorHAnsi"/>
                <w:color w:val="404040" w:themeColor="text1" w:themeTint="BF"/>
                <w:sz w:val="18"/>
                <w:szCs w:val="18"/>
              </w:rPr>
              <w:t>(</w:t>
            </w:r>
            <w:proofErr w:type="spellStart"/>
            <w:r w:rsidRPr="00E7018D">
              <w:rPr>
                <w:rFonts w:asciiTheme="minorHAnsi" w:hAnsiTheme="minorHAnsi" w:cstheme="minorHAnsi"/>
                <w:color w:val="404040" w:themeColor="text1" w:themeTint="BF"/>
                <w:sz w:val="18"/>
                <w:szCs w:val="18"/>
              </w:rPr>
              <w:t>floorspace</w:t>
            </w:r>
            <w:proofErr w:type="spellEnd"/>
            <w:r w:rsidRPr="00E7018D">
              <w:rPr>
                <w:rFonts w:asciiTheme="minorHAnsi" w:hAnsiTheme="minorHAnsi" w:cstheme="minorHAnsi"/>
                <w:color w:val="404040" w:themeColor="text1" w:themeTint="BF"/>
                <w:sz w:val="18"/>
                <w:szCs w:val="18"/>
              </w:rPr>
              <w:t xml:space="preserve"> m</w:t>
            </w:r>
            <w:r w:rsidRPr="00E7018D">
              <w:rPr>
                <w:rFonts w:asciiTheme="minorHAnsi" w:hAnsiTheme="minorHAnsi" w:cstheme="minorHAnsi"/>
                <w:color w:val="404040" w:themeColor="text1" w:themeTint="BF"/>
                <w:sz w:val="18"/>
                <w:szCs w:val="18"/>
                <w:vertAlign w:val="superscript"/>
              </w:rPr>
              <w:t>2</w:t>
            </w:r>
            <w:r w:rsidRPr="00E7018D">
              <w:rPr>
                <w:rFonts w:asciiTheme="minorHAnsi" w:hAnsiTheme="minorHAnsi" w:cstheme="minorHAnsi"/>
                <w:color w:val="404040" w:themeColor="text1" w:themeTint="BF"/>
                <w:sz w:val="18"/>
                <w:szCs w:val="18"/>
              </w:rPr>
              <w:t>)</w:t>
            </w:r>
          </w:p>
        </w:tc>
        <w:tc>
          <w:tcPr>
            <w:tcW w:w="2311" w:type="dxa"/>
          </w:tcPr>
          <w:p w:rsidR="007A1DE2" w:rsidRPr="00E7018D" w:rsidRDefault="007A1DE2" w:rsidP="000B31B6">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c>
          <w:tcPr>
            <w:tcW w:w="2310" w:type="dxa"/>
          </w:tcPr>
          <w:p w:rsidR="007A1DE2" w:rsidRPr="00E7018D" w:rsidRDefault="007A1DE2" w:rsidP="007B632F">
            <w:pPr>
              <w:jc w:val="center"/>
              <w:rPr>
                <w:rFonts w:asciiTheme="minorHAnsi" w:hAnsiTheme="minorHAnsi" w:cstheme="minorHAnsi"/>
                <w:color w:val="404040" w:themeColor="text1" w:themeTint="BF"/>
                <w:sz w:val="18"/>
                <w:vertAlign w:val="superscript"/>
              </w:rPr>
            </w:pPr>
            <w:r w:rsidRPr="00E7018D">
              <w:rPr>
                <w:rFonts w:asciiTheme="minorHAnsi" w:hAnsiTheme="minorHAnsi" w:cstheme="minorHAnsi"/>
                <w:color w:val="404040" w:themeColor="text1" w:themeTint="BF"/>
                <w:sz w:val="18"/>
              </w:rPr>
              <w:t xml:space="preserve">30,638 </w:t>
            </w:r>
          </w:p>
        </w:tc>
        <w:tc>
          <w:tcPr>
            <w:tcW w:w="2311" w:type="dxa"/>
          </w:tcPr>
          <w:p w:rsidR="007A1DE2" w:rsidRPr="00E7018D" w:rsidRDefault="007A1DE2" w:rsidP="007B632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18"/>
              </w:rPr>
              <w:t>-</w:t>
            </w:r>
          </w:p>
        </w:tc>
      </w:tr>
    </w:tbl>
    <w:p w:rsidR="00147AD9" w:rsidRPr="00147AD9" w:rsidRDefault="00147AD9" w:rsidP="00147AD9">
      <w:pPr>
        <w:jc w:val="center"/>
        <w:rPr>
          <w:rFonts w:ascii="Calibri" w:hAnsi="Calibri" w:cs="Calibri"/>
          <w:b/>
          <w:sz w:val="6"/>
          <w:szCs w:val="6"/>
        </w:rPr>
      </w:pPr>
    </w:p>
    <w:p w:rsidR="00147AD9" w:rsidRPr="00AF195F" w:rsidRDefault="00AF195F" w:rsidP="00147AD9">
      <w:pPr>
        <w:jc w:val="center"/>
        <w:rPr>
          <w:rFonts w:ascii="Calibri" w:hAnsi="Calibri" w:cs="Calibri"/>
          <w:sz w:val="22"/>
        </w:rPr>
      </w:pPr>
      <w:r>
        <w:rPr>
          <w:rFonts w:ascii="Calibri" w:hAnsi="Calibri" w:cs="Calibri"/>
          <w:b/>
          <w:sz w:val="20"/>
          <w:szCs w:val="18"/>
        </w:rPr>
        <w:t xml:space="preserve">Figure </w:t>
      </w:r>
      <w:r w:rsidR="00147AD9" w:rsidRPr="00AF195F">
        <w:rPr>
          <w:rFonts w:ascii="Calibri" w:hAnsi="Calibri" w:cs="Calibri"/>
          <w:b/>
          <w:sz w:val="20"/>
          <w:szCs w:val="18"/>
        </w:rPr>
        <w:t xml:space="preserve">4: </w:t>
      </w:r>
      <w:r w:rsidR="00147AD9" w:rsidRPr="00AF195F">
        <w:rPr>
          <w:rFonts w:ascii="Calibri" w:hAnsi="Calibri" w:cs="Calibri"/>
          <w:sz w:val="20"/>
          <w:szCs w:val="18"/>
        </w:rPr>
        <w:t xml:space="preserve">Planning permissions </w:t>
      </w:r>
      <w:r w:rsidR="00F74D36" w:rsidRPr="00AF195F">
        <w:rPr>
          <w:rFonts w:ascii="Calibri" w:hAnsi="Calibri" w:cs="Calibri"/>
          <w:sz w:val="20"/>
          <w:szCs w:val="18"/>
        </w:rPr>
        <w:t>granted</w:t>
      </w:r>
      <w:r w:rsidR="00147AD9" w:rsidRPr="00AF195F">
        <w:rPr>
          <w:rFonts w:ascii="Calibri" w:hAnsi="Calibri" w:cs="Calibri"/>
          <w:sz w:val="20"/>
          <w:szCs w:val="18"/>
        </w:rPr>
        <w:t xml:space="preserve"> for new Class B1 uses</w:t>
      </w:r>
      <w:r w:rsidR="00F74D36" w:rsidRPr="00AF195F">
        <w:rPr>
          <w:rFonts w:ascii="Calibri" w:hAnsi="Calibri" w:cs="Calibri"/>
          <w:sz w:val="20"/>
          <w:szCs w:val="18"/>
        </w:rPr>
        <w:t xml:space="preserve"> in 2013/14</w:t>
      </w:r>
    </w:p>
    <w:p w:rsidR="00147AD9" w:rsidRDefault="00147AD9" w:rsidP="00923530">
      <w:pPr>
        <w:rPr>
          <w:rFonts w:ascii="Calibri" w:eastAsia="Calibri" w:hAnsi="Calibri" w:cs="Calibri"/>
          <w:color w:val="000000"/>
          <w:sz w:val="22"/>
          <w:szCs w:val="22"/>
        </w:rPr>
      </w:pPr>
    </w:p>
    <w:p w:rsidR="000B31B6" w:rsidRDefault="00AF195F"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Figure </w:t>
      </w:r>
      <w:r w:rsidR="00A001D9">
        <w:rPr>
          <w:rFonts w:ascii="Calibri" w:eastAsia="Calibri" w:hAnsi="Calibri" w:cs="Calibri"/>
          <w:color w:val="000000"/>
          <w:sz w:val="22"/>
          <w:szCs w:val="22"/>
        </w:rPr>
        <w:t xml:space="preserve">4 </w:t>
      </w:r>
      <w:proofErr w:type="gramStart"/>
      <w:r w:rsidR="00A001D9">
        <w:rPr>
          <w:rFonts w:ascii="Calibri" w:eastAsia="Calibri" w:hAnsi="Calibri" w:cs="Calibri"/>
          <w:color w:val="000000"/>
          <w:sz w:val="22"/>
          <w:szCs w:val="22"/>
        </w:rPr>
        <w:t>shows</w:t>
      </w:r>
      <w:proofErr w:type="gramEnd"/>
      <w:r w:rsidR="00A001D9">
        <w:rPr>
          <w:rFonts w:ascii="Calibri" w:eastAsia="Calibri" w:hAnsi="Calibri" w:cs="Calibri"/>
          <w:color w:val="000000"/>
          <w:sz w:val="22"/>
          <w:szCs w:val="22"/>
        </w:rPr>
        <w:t xml:space="preserve"> that</w:t>
      </w:r>
      <w:r w:rsidR="00147AD9" w:rsidRPr="00147AD9">
        <w:rPr>
          <w:rFonts w:ascii="Calibri" w:eastAsia="Calibri" w:hAnsi="Calibri" w:cs="Calibri"/>
          <w:color w:val="000000"/>
          <w:sz w:val="22"/>
          <w:szCs w:val="22"/>
        </w:rPr>
        <w:t xml:space="preserve"> a small amount of</w:t>
      </w:r>
      <w:r w:rsidR="00F74D36">
        <w:rPr>
          <w:rFonts w:ascii="Calibri" w:eastAsia="Calibri" w:hAnsi="Calibri" w:cs="Calibri"/>
          <w:color w:val="000000"/>
          <w:sz w:val="22"/>
          <w:szCs w:val="22"/>
        </w:rPr>
        <w:t xml:space="preserve"> B1 </w:t>
      </w:r>
      <w:proofErr w:type="spellStart"/>
      <w:r w:rsidR="00F74D36">
        <w:rPr>
          <w:rFonts w:ascii="Calibri" w:eastAsia="Calibri" w:hAnsi="Calibri" w:cs="Calibri"/>
          <w:color w:val="000000"/>
          <w:sz w:val="22"/>
          <w:szCs w:val="22"/>
        </w:rPr>
        <w:t>floor</w:t>
      </w:r>
      <w:r w:rsidR="00147AD9" w:rsidRPr="00147AD9">
        <w:rPr>
          <w:rFonts w:ascii="Calibri" w:eastAsia="Calibri" w:hAnsi="Calibri" w:cs="Calibri"/>
          <w:color w:val="000000"/>
          <w:sz w:val="22"/>
          <w:szCs w:val="22"/>
        </w:rPr>
        <w:t>space</w:t>
      </w:r>
      <w:proofErr w:type="spellEnd"/>
      <w:r w:rsidR="000B31B6">
        <w:rPr>
          <w:rFonts w:ascii="Calibri" w:eastAsia="Calibri" w:hAnsi="Calibri" w:cs="Calibri"/>
          <w:color w:val="000000"/>
          <w:sz w:val="22"/>
          <w:szCs w:val="22"/>
        </w:rPr>
        <w:t xml:space="preserve"> </w:t>
      </w:r>
      <w:r w:rsidR="00A001D9">
        <w:rPr>
          <w:rFonts w:ascii="Calibri" w:eastAsia="Calibri" w:hAnsi="Calibri" w:cs="Calibri"/>
          <w:color w:val="000000"/>
          <w:sz w:val="22"/>
          <w:szCs w:val="22"/>
        </w:rPr>
        <w:t xml:space="preserve">was </w:t>
      </w:r>
      <w:r w:rsidR="000B31B6">
        <w:rPr>
          <w:rFonts w:ascii="Calibri" w:eastAsia="Calibri" w:hAnsi="Calibri" w:cs="Calibri"/>
          <w:color w:val="000000"/>
          <w:sz w:val="22"/>
          <w:szCs w:val="22"/>
        </w:rPr>
        <w:t>granted planning permission t</w:t>
      </w:r>
      <w:r w:rsidR="00147AD9" w:rsidRPr="00147AD9">
        <w:rPr>
          <w:rFonts w:ascii="Calibri" w:eastAsia="Calibri" w:hAnsi="Calibri" w:cs="Calibri"/>
          <w:color w:val="000000"/>
          <w:sz w:val="22"/>
          <w:szCs w:val="22"/>
        </w:rPr>
        <w:t>his monitoring year.</w:t>
      </w:r>
      <w:r w:rsidR="00A001D9">
        <w:rPr>
          <w:rFonts w:ascii="Calibri" w:eastAsia="Calibri" w:hAnsi="Calibri" w:cs="Calibri"/>
          <w:color w:val="000000"/>
          <w:sz w:val="22"/>
          <w:szCs w:val="22"/>
        </w:rPr>
        <w:t xml:space="preserve"> This </w:t>
      </w:r>
      <w:r w:rsidR="000B31B6">
        <w:rPr>
          <w:rFonts w:ascii="Calibri" w:eastAsia="Calibri" w:hAnsi="Calibri" w:cs="Calibri"/>
          <w:color w:val="000000"/>
          <w:sz w:val="22"/>
          <w:szCs w:val="22"/>
        </w:rPr>
        <w:t>was for B1a (office</w:t>
      </w:r>
      <w:r w:rsidR="00354A24">
        <w:rPr>
          <w:rFonts w:ascii="Calibri" w:eastAsia="Calibri" w:hAnsi="Calibri" w:cs="Calibri"/>
          <w:color w:val="000000"/>
          <w:sz w:val="22"/>
          <w:szCs w:val="22"/>
        </w:rPr>
        <w:t>) use</w:t>
      </w:r>
      <w:r w:rsidR="000B31B6">
        <w:rPr>
          <w:rFonts w:ascii="Calibri" w:eastAsia="Calibri" w:hAnsi="Calibri" w:cs="Calibri"/>
          <w:color w:val="000000"/>
          <w:sz w:val="22"/>
          <w:szCs w:val="22"/>
        </w:rPr>
        <w:t>.</w:t>
      </w:r>
      <w:r w:rsidR="00147AD9" w:rsidRPr="00147AD9">
        <w:rPr>
          <w:rFonts w:ascii="Calibri" w:eastAsia="Calibri" w:hAnsi="Calibri" w:cs="Calibri"/>
          <w:color w:val="000000"/>
          <w:sz w:val="22"/>
          <w:szCs w:val="22"/>
        </w:rPr>
        <w:t xml:space="preserve"> </w:t>
      </w:r>
      <w:r w:rsidR="000B31B6">
        <w:rPr>
          <w:rFonts w:ascii="Calibri" w:eastAsia="Calibri" w:hAnsi="Calibri" w:cs="Calibri"/>
          <w:color w:val="000000"/>
          <w:sz w:val="22"/>
          <w:szCs w:val="22"/>
        </w:rPr>
        <w:t>However, planning permission was also granted for 3</w:t>
      </w:r>
      <w:r w:rsidR="00354A24">
        <w:rPr>
          <w:rFonts w:ascii="Calibri" w:eastAsia="Calibri" w:hAnsi="Calibri" w:cs="Calibri"/>
          <w:color w:val="000000"/>
          <w:sz w:val="22"/>
          <w:szCs w:val="22"/>
        </w:rPr>
        <w:t>,</w:t>
      </w:r>
      <w:r w:rsidR="000B31B6">
        <w:rPr>
          <w:rFonts w:ascii="Calibri" w:eastAsia="Calibri" w:hAnsi="Calibri" w:cs="Calibri"/>
          <w:color w:val="000000"/>
          <w:sz w:val="22"/>
          <w:szCs w:val="22"/>
        </w:rPr>
        <w:t>509</w:t>
      </w:r>
      <w:r w:rsidR="000B31B6" w:rsidRPr="000F6092">
        <w:rPr>
          <w:rFonts w:ascii="Calibri" w:eastAsia="Calibri" w:hAnsi="Calibri" w:cs="Calibri"/>
          <w:color w:val="000000"/>
          <w:sz w:val="22"/>
          <w:szCs w:val="22"/>
        </w:rPr>
        <w:t>m</w:t>
      </w:r>
      <w:r w:rsidR="000B31B6">
        <w:rPr>
          <w:rFonts w:ascii="Calibri" w:eastAsia="Calibri" w:hAnsi="Calibri" w:cs="Calibri"/>
          <w:color w:val="000000"/>
          <w:sz w:val="22"/>
          <w:szCs w:val="22"/>
          <w:vertAlign w:val="superscript"/>
        </w:rPr>
        <w:t>2</w:t>
      </w:r>
      <w:r w:rsidR="000B31B6">
        <w:rPr>
          <w:rFonts w:ascii="Calibri" w:eastAsia="Calibri" w:hAnsi="Calibri" w:cs="Calibri"/>
          <w:color w:val="000000"/>
          <w:sz w:val="22"/>
          <w:szCs w:val="22"/>
        </w:rPr>
        <w:t xml:space="preserve"> of </w:t>
      </w:r>
      <w:proofErr w:type="spellStart"/>
      <w:r w:rsidR="000B31B6">
        <w:rPr>
          <w:rFonts w:ascii="Calibri" w:eastAsia="Calibri" w:hAnsi="Calibri" w:cs="Calibri"/>
          <w:color w:val="000000"/>
          <w:sz w:val="22"/>
          <w:szCs w:val="22"/>
        </w:rPr>
        <w:t>floorspace</w:t>
      </w:r>
      <w:proofErr w:type="spellEnd"/>
      <w:r w:rsidR="000B31B6" w:rsidRPr="000F6092">
        <w:rPr>
          <w:rFonts w:ascii="Calibri" w:eastAsia="Calibri" w:hAnsi="Calibri" w:cs="Calibri"/>
          <w:color w:val="000000"/>
          <w:sz w:val="22"/>
          <w:szCs w:val="22"/>
        </w:rPr>
        <w:t xml:space="preserve"> for Class B1</w:t>
      </w:r>
      <w:r w:rsidR="006A738C">
        <w:rPr>
          <w:rFonts w:ascii="Calibri" w:eastAsia="Calibri" w:hAnsi="Calibri" w:cs="Calibri"/>
          <w:color w:val="000000"/>
          <w:sz w:val="22"/>
          <w:szCs w:val="22"/>
        </w:rPr>
        <w:t xml:space="preserve">, </w:t>
      </w:r>
      <w:r w:rsidR="000B31B6" w:rsidRPr="000F6092">
        <w:rPr>
          <w:rFonts w:ascii="Calibri" w:eastAsia="Calibri" w:hAnsi="Calibri" w:cs="Calibri"/>
          <w:color w:val="000000"/>
          <w:sz w:val="22"/>
          <w:szCs w:val="22"/>
        </w:rPr>
        <w:t xml:space="preserve">B2 </w:t>
      </w:r>
      <w:r w:rsidR="006A738C">
        <w:rPr>
          <w:rFonts w:ascii="Calibri" w:eastAsia="Calibri" w:hAnsi="Calibri" w:cs="Calibri"/>
          <w:color w:val="000000"/>
          <w:sz w:val="22"/>
          <w:szCs w:val="22"/>
        </w:rPr>
        <w:t xml:space="preserve">or </w:t>
      </w:r>
      <w:r w:rsidR="000B31B6" w:rsidRPr="000F6092">
        <w:rPr>
          <w:rFonts w:ascii="Calibri" w:eastAsia="Calibri" w:hAnsi="Calibri" w:cs="Calibri"/>
          <w:color w:val="000000"/>
          <w:sz w:val="22"/>
          <w:szCs w:val="22"/>
        </w:rPr>
        <w:t xml:space="preserve"> B8  use</w:t>
      </w:r>
      <w:r w:rsidR="007A1DE2">
        <w:rPr>
          <w:rFonts w:ascii="Calibri" w:eastAsia="Calibri" w:hAnsi="Calibri" w:cs="Calibri"/>
          <w:color w:val="000000"/>
          <w:sz w:val="22"/>
          <w:szCs w:val="22"/>
        </w:rPr>
        <w:t>s</w:t>
      </w:r>
      <w:r w:rsidR="000B31B6">
        <w:rPr>
          <w:rFonts w:ascii="Calibri" w:eastAsia="Calibri" w:hAnsi="Calibri" w:cs="Calibri"/>
          <w:color w:val="000000"/>
          <w:sz w:val="22"/>
          <w:szCs w:val="22"/>
        </w:rPr>
        <w:t xml:space="preserve"> at the former DHL site on Sandy Lane</w:t>
      </w:r>
      <w:r w:rsidR="00A001D9">
        <w:rPr>
          <w:rFonts w:ascii="Calibri" w:eastAsia="Calibri" w:hAnsi="Calibri" w:cs="Calibri"/>
          <w:color w:val="000000"/>
          <w:sz w:val="22"/>
          <w:szCs w:val="22"/>
        </w:rPr>
        <w:t xml:space="preserve">, which </w:t>
      </w:r>
      <w:r w:rsidR="006A738C">
        <w:rPr>
          <w:rFonts w:ascii="Calibri" w:eastAsia="Calibri" w:hAnsi="Calibri" w:cs="Calibri"/>
          <w:color w:val="000000"/>
          <w:sz w:val="22"/>
          <w:szCs w:val="22"/>
        </w:rPr>
        <w:t xml:space="preserve">may </w:t>
      </w:r>
      <w:r w:rsidR="00A001D9">
        <w:rPr>
          <w:rFonts w:ascii="Calibri" w:eastAsia="Calibri" w:hAnsi="Calibri" w:cs="Calibri"/>
          <w:color w:val="000000"/>
          <w:sz w:val="22"/>
          <w:szCs w:val="22"/>
        </w:rPr>
        <w:t>also contribute towards this target</w:t>
      </w:r>
      <w:r w:rsidR="009D4EB7">
        <w:rPr>
          <w:rFonts w:ascii="Calibri" w:eastAsia="Calibri" w:hAnsi="Calibri" w:cs="Calibri"/>
          <w:color w:val="000000"/>
          <w:sz w:val="22"/>
          <w:szCs w:val="22"/>
        </w:rPr>
        <w:t xml:space="preserve"> (</w:t>
      </w:r>
      <w:r w:rsidR="009D4EB7">
        <w:rPr>
          <w:rFonts w:ascii="Calibri" w:eastAsia="Calibri" w:hAnsi="Calibri" w:cs="Times New Roman"/>
          <w:sz w:val="22"/>
          <w:szCs w:val="22"/>
        </w:rPr>
        <w:t>although the precise breakdown between uses is unknown at present)</w:t>
      </w:r>
      <w:r w:rsidR="00A001D9">
        <w:rPr>
          <w:rFonts w:ascii="Calibri" w:eastAsia="Calibri" w:hAnsi="Calibri" w:cs="Calibri"/>
          <w:color w:val="000000"/>
          <w:sz w:val="22"/>
          <w:szCs w:val="22"/>
        </w:rPr>
        <w:t>. This shows an improvement on the previous monitoring year when there were no planning permissions granted for new B1 uses.</w:t>
      </w:r>
    </w:p>
    <w:p w:rsidR="0058441A" w:rsidRDefault="000B31B6"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6A738C">
        <w:rPr>
          <w:rFonts w:ascii="Calibri" w:eastAsia="Calibri" w:hAnsi="Calibri" w:cs="Calibri"/>
          <w:color w:val="000000"/>
          <w:sz w:val="22"/>
          <w:szCs w:val="22"/>
        </w:rPr>
        <w:t xml:space="preserve">A number of major </w:t>
      </w:r>
      <w:r w:rsidR="007A1DE2">
        <w:rPr>
          <w:rFonts w:ascii="Calibri" w:eastAsia="Calibri" w:hAnsi="Calibri" w:cs="Calibri"/>
          <w:color w:val="000000"/>
          <w:sz w:val="22"/>
          <w:szCs w:val="22"/>
        </w:rPr>
        <w:t>applications for e</w:t>
      </w:r>
      <w:r w:rsidR="00147AD9" w:rsidRPr="00147AD9">
        <w:rPr>
          <w:rFonts w:ascii="Calibri" w:eastAsia="Calibri" w:hAnsi="Calibri" w:cs="Calibri"/>
          <w:color w:val="000000"/>
          <w:sz w:val="22"/>
          <w:szCs w:val="22"/>
        </w:rPr>
        <w:t xml:space="preserve">mployment development </w:t>
      </w:r>
      <w:r w:rsidR="007A1DE2">
        <w:rPr>
          <w:rFonts w:ascii="Calibri" w:eastAsia="Calibri" w:hAnsi="Calibri" w:cs="Calibri"/>
          <w:color w:val="000000"/>
          <w:sz w:val="22"/>
          <w:szCs w:val="22"/>
        </w:rPr>
        <w:t>are also likely to come forward in</w:t>
      </w:r>
      <w:r w:rsidR="006A738C">
        <w:rPr>
          <w:rFonts w:ascii="Calibri" w:eastAsia="Calibri" w:hAnsi="Calibri" w:cs="Calibri"/>
          <w:color w:val="000000"/>
          <w:sz w:val="22"/>
          <w:szCs w:val="22"/>
        </w:rPr>
        <w:t xml:space="preserve"> subsequent</w:t>
      </w:r>
      <w:r w:rsidR="007A1DE2">
        <w:rPr>
          <w:rFonts w:ascii="Calibri" w:eastAsia="Calibri" w:hAnsi="Calibri" w:cs="Calibri"/>
          <w:color w:val="000000"/>
          <w:sz w:val="22"/>
          <w:szCs w:val="22"/>
        </w:rPr>
        <w:t xml:space="preserve"> years, including the</w:t>
      </w:r>
      <w:r w:rsidR="00A001D9">
        <w:rPr>
          <w:rFonts w:ascii="Calibri" w:eastAsia="Calibri" w:hAnsi="Calibri" w:cs="Calibri"/>
          <w:color w:val="000000"/>
          <w:sz w:val="22"/>
          <w:szCs w:val="22"/>
        </w:rPr>
        <w:t xml:space="preserve"> Northern Gateway (55,000</w:t>
      </w:r>
      <w:r w:rsidR="00147AD9" w:rsidRPr="00147AD9">
        <w:rPr>
          <w:rFonts w:ascii="Calibri" w:eastAsia="Calibri" w:hAnsi="Calibri" w:cs="Calibri"/>
          <w:color w:val="000000"/>
          <w:sz w:val="22"/>
          <w:szCs w:val="22"/>
        </w:rPr>
        <w:t>m</w:t>
      </w:r>
      <w:r w:rsidR="00A001D9">
        <w:rPr>
          <w:rFonts w:ascii="Calibri" w:eastAsia="Calibri" w:hAnsi="Calibri" w:cs="Calibri"/>
          <w:color w:val="000000"/>
          <w:sz w:val="22"/>
          <w:szCs w:val="22"/>
          <w:vertAlign w:val="superscript"/>
        </w:rPr>
        <w:t>2</w:t>
      </w:r>
      <w:r w:rsidR="007A1DE2">
        <w:rPr>
          <w:rFonts w:ascii="Calibri" w:eastAsia="Calibri" w:hAnsi="Calibri" w:cs="Calibri"/>
          <w:color w:val="000000"/>
          <w:sz w:val="22"/>
          <w:szCs w:val="22"/>
        </w:rPr>
        <w:t xml:space="preserve">), </w:t>
      </w:r>
      <w:proofErr w:type="spellStart"/>
      <w:r w:rsidR="007A1DE2">
        <w:rPr>
          <w:rFonts w:ascii="Calibri" w:eastAsia="Calibri" w:hAnsi="Calibri" w:cs="Calibri"/>
          <w:color w:val="000000"/>
          <w:sz w:val="22"/>
          <w:szCs w:val="22"/>
        </w:rPr>
        <w:t>Oxpens</w:t>
      </w:r>
      <w:proofErr w:type="spellEnd"/>
      <w:r w:rsidR="007A1DE2">
        <w:rPr>
          <w:rFonts w:ascii="Calibri" w:eastAsia="Calibri" w:hAnsi="Calibri" w:cs="Calibri"/>
          <w:color w:val="000000"/>
          <w:sz w:val="22"/>
          <w:szCs w:val="22"/>
        </w:rPr>
        <w:t xml:space="preserve"> and Oxford</w:t>
      </w:r>
      <w:r w:rsidR="00147AD9" w:rsidRPr="00147AD9">
        <w:rPr>
          <w:rFonts w:ascii="Calibri" w:eastAsia="Calibri" w:hAnsi="Calibri" w:cs="Calibri"/>
          <w:color w:val="000000"/>
          <w:sz w:val="22"/>
          <w:szCs w:val="22"/>
        </w:rPr>
        <w:t xml:space="preserve"> Railway Sta</w:t>
      </w:r>
      <w:r w:rsidR="007A1DE2">
        <w:rPr>
          <w:rFonts w:ascii="Calibri" w:eastAsia="Calibri" w:hAnsi="Calibri" w:cs="Calibri"/>
          <w:color w:val="000000"/>
          <w:sz w:val="22"/>
          <w:szCs w:val="22"/>
        </w:rPr>
        <w:t>tion</w:t>
      </w:r>
      <w:r w:rsidR="00A001D9">
        <w:rPr>
          <w:rFonts w:ascii="Calibri" w:eastAsia="Calibri" w:hAnsi="Calibri" w:cs="Calibri"/>
          <w:color w:val="000000"/>
          <w:sz w:val="22"/>
          <w:szCs w:val="22"/>
        </w:rPr>
        <w:t>.</w:t>
      </w:r>
      <w:r w:rsidR="00354A24">
        <w:rPr>
          <w:rFonts w:ascii="Calibri" w:eastAsia="Calibri" w:hAnsi="Calibri" w:cs="Calibri"/>
          <w:color w:val="000000"/>
          <w:sz w:val="22"/>
          <w:szCs w:val="22"/>
        </w:rPr>
        <w:t xml:space="preserve"> </w:t>
      </w:r>
    </w:p>
    <w:p w:rsidR="006A738C" w:rsidRDefault="006A738C" w:rsidP="006A738C">
      <w:pPr>
        <w:spacing w:after="200" w:line="276" w:lineRule="auto"/>
        <w:ind w:left="360"/>
        <w:jc w:val="both"/>
        <w:rPr>
          <w:rFonts w:ascii="Calibri" w:eastAsia="Calibri" w:hAnsi="Calibri" w:cs="Calibri"/>
          <w:color w:val="000000"/>
          <w:sz w:val="22"/>
          <w:szCs w:val="22"/>
        </w:rPr>
      </w:pPr>
    </w:p>
    <w:p w:rsidR="00CD6163" w:rsidRPr="004E1070" w:rsidRDefault="00CD6163" w:rsidP="006A738C">
      <w:pPr>
        <w:spacing w:after="200" w:line="276" w:lineRule="auto"/>
        <w:ind w:left="360"/>
        <w:jc w:val="both"/>
        <w:rPr>
          <w:rFonts w:ascii="Calibri" w:eastAsia="Calibri" w:hAnsi="Calibri" w:cs="Calibri"/>
          <w:color w:val="000000"/>
          <w:sz w:val="22"/>
          <w:szCs w:val="22"/>
        </w:rPr>
      </w:pPr>
    </w:p>
    <w:p w:rsidR="00F72AE9" w:rsidRDefault="00100981" w:rsidP="00CA480C">
      <w:pPr>
        <w:autoSpaceDE w:val="0"/>
        <w:autoSpaceDN w:val="0"/>
        <w:adjustRightInd w:val="0"/>
        <w:jc w:val="both"/>
        <w:rPr>
          <w:rFonts w:ascii="Calibri" w:eastAsia="Calibri" w:hAnsi="Calibri" w:cs="Calibri"/>
          <w:b/>
          <w:color w:val="244061" w:themeColor="accent1" w:themeShade="80"/>
        </w:rPr>
      </w:pPr>
      <w:r w:rsidRPr="00AF195F">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09792" behindDoc="0" locked="0" layoutInCell="1" allowOverlap="1" wp14:anchorId="6FB895EA" wp14:editId="175C3237">
                <wp:simplePos x="0" y="0"/>
                <wp:positionH relativeFrom="column">
                  <wp:posOffset>3509010</wp:posOffset>
                </wp:positionH>
                <wp:positionV relativeFrom="paragraph">
                  <wp:posOffset>-570865</wp:posOffset>
                </wp:positionV>
                <wp:extent cx="2427605" cy="352425"/>
                <wp:effectExtent l="0" t="0" r="0" b="9525"/>
                <wp:wrapNone/>
                <wp:docPr id="121" name="Text Box 121"/>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AF195F">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1" o:spid="_x0000_s1036" type="#_x0000_t202" style="position:absolute;left:0;text-align:left;margin-left:276.3pt;margin-top:-44.95pt;width:191.15pt;height:27.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" fillcolor="window" stroked="f" strokeweight=".5pt">
                <v:textbox>
                  <w:txbxContent>
                    <w:p w:rsidR="000D3CFF" w:rsidRPr="00280EB5" w:rsidRDefault="000D3CFF" w:rsidP="00AF195F">
                      <w:pPr>
                        <w:jc w:val="right"/>
                        <w:rPr>
                          <w:b/>
                          <w:color w:val="17365D" w:themeColor="text2" w:themeShade="BF"/>
                        </w:rPr>
                      </w:pPr>
                      <w:r>
                        <w:rPr>
                          <w:b/>
                          <w:color w:val="17365D" w:themeColor="text2" w:themeShade="BF"/>
                        </w:rPr>
                        <w:t>Vibrant, Sustainable Economy</w:t>
                      </w:r>
                    </w:p>
                  </w:txbxContent>
                </v:textbox>
              </v:shape>
            </w:pict>
          </mc:Fallback>
        </mc:AlternateContent>
      </w:r>
      <w:r w:rsidR="00C323EB">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69504" behindDoc="1" locked="0" layoutInCell="1" allowOverlap="1" wp14:anchorId="46FF135D" wp14:editId="4296B725">
                <wp:simplePos x="0" y="0"/>
                <wp:positionH relativeFrom="column">
                  <wp:posOffset>-66675</wp:posOffset>
                </wp:positionH>
                <wp:positionV relativeFrom="paragraph">
                  <wp:posOffset>-635</wp:posOffset>
                </wp:positionV>
                <wp:extent cx="5894705" cy="2209800"/>
                <wp:effectExtent l="0" t="0" r="0" b="0"/>
                <wp:wrapNone/>
                <wp:docPr id="44" name="Rectangle 44"/>
                <wp:cNvGraphicFramePr/>
                <a:graphic xmlns:a="http://schemas.openxmlformats.org/drawingml/2006/main">
                  <a:graphicData uri="http://schemas.microsoft.com/office/word/2010/wordprocessingShape">
                    <wps:wsp>
                      <wps:cNvSpPr/>
                      <wps:spPr>
                        <a:xfrm>
                          <a:off x="0" y="0"/>
                          <a:ext cx="5894705" cy="220980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5.25pt;margin-top:-.05pt;width:464.15pt;height:1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" fillcolor="#dbeef4" stroked="f" strokeweight="2pt"/>
            </w:pict>
          </mc:Fallback>
        </mc:AlternateContent>
      </w:r>
      <w:r w:rsidR="00CA480C">
        <w:rPr>
          <w:rFonts w:ascii="Calibri" w:eastAsia="Calibri" w:hAnsi="Calibri" w:cs="Calibri"/>
          <w:b/>
          <w:color w:val="244061" w:themeColor="accent1" w:themeShade="80"/>
        </w:rPr>
        <w:t>I</w:t>
      </w:r>
      <w:r w:rsidR="00CA480C" w:rsidRPr="00670AA8">
        <w:rPr>
          <w:rFonts w:ascii="Calibri" w:eastAsia="Calibri" w:hAnsi="Calibri" w:cs="Calibri"/>
          <w:b/>
          <w:color w:val="244061" w:themeColor="accent1" w:themeShade="80"/>
        </w:rPr>
        <w:t>ndica</w:t>
      </w:r>
      <w:r w:rsidR="00CA480C">
        <w:rPr>
          <w:rFonts w:ascii="Calibri" w:eastAsia="Calibri" w:hAnsi="Calibri" w:cs="Calibri"/>
          <w:b/>
          <w:color w:val="244061" w:themeColor="accent1" w:themeShade="80"/>
        </w:rPr>
        <w:t xml:space="preserve">tor 6: LAND </w:t>
      </w:r>
      <w:r w:rsidR="00F72AE9">
        <w:rPr>
          <w:rFonts w:ascii="Calibri" w:eastAsia="Calibri" w:hAnsi="Calibri" w:cs="Calibri"/>
          <w:b/>
          <w:color w:val="244061" w:themeColor="accent1" w:themeShade="80"/>
        </w:rPr>
        <w:t xml:space="preserve">FOR </w:t>
      </w:r>
      <w:r w:rsidR="00CA480C">
        <w:rPr>
          <w:rFonts w:ascii="Calibri" w:eastAsia="Calibri" w:hAnsi="Calibri" w:cs="Calibri"/>
          <w:b/>
          <w:color w:val="244061" w:themeColor="accent1" w:themeShade="80"/>
        </w:rPr>
        <w:t>KEY EMPLOYMENT USES</w:t>
      </w:r>
      <w:r w:rsidR="00F72AE9">
        <w:rPr>
          <w:rFonts w:ascii="Calibri" w:eastAsia="Calibri" w:hAnsi="Calibri" w:cs="Calibri"/>
          <w:b/>
          <w:color w:val="244061" w:themeColor="accent1" w:themeShade="80"/>
        </w:rPr>
        <w:t xml:space="preserve"> </w:t>
      </w:r>
    </w:p>
    <w:p w:rsidR="00CA480C" w:rsidRPr="00F72AE9" w:rsidRDefault="00ED365D" w:rsidP="00CA480C">
      <w:pPr>
        <w:autoSpaceDE w:val="0"/>
        <w:autoSpaceDN w:val="0"/>
        <w:adjustRightInd w:val="0"/>
        <w:jc w:val="both"/>
        <w:rPr>
          <w:rFonts w:ascii="Calibri" w:eastAsia="Calibri" w:hAnsi="Calibri" w:cs="Calibri"/>
          <w:color w:val="244061" w:themeColor="accent1" w:themeShade="80"/>
          <w:sz w:val="22"/>
        </w:rPr>
      </w:pPr>
      <w:r>
        <w:rPr>
          <w:rFonts w:ascii="Calibri" w:eastAsia="Calibri" w:hAnsi="Calibri" w:cs="Calibri"/>
          <w:color w:val="244061" w:themeColor="accent1" w:themeShade="80"/>
          <w:sz w:val="22"/>
        </w:rPr>
        <w:t>(H</w:t>
      </w:r>
      <w:r w:rsidRPr="00F72AE9">
        <w:rPr>
          <w:rFonts w:ascii="Calibri" w:eastAsia="Calibri" w:hAnsi="Calibri" w:cs="Calibri"/>
          <w:color w:val="244061" w:themeColor="accent1" w:themeShade="80"/>
          <w:sz w:val="22"/>
        </w:rPr>
        <w:t>ospital healthcare, medical research and academic</w:t>
      </w:r>
      <w:r>
        <w:rPr>
          <w:rFonts w:ascii="Calibri" w:eastAsia="Calibri" w:hAnsi="Calibri" w:cs="Calibri"/>
          <w:color w:val="244061" w:themeColor="accent1" w:themeShade="80"/>
          <w:sz w:val="22"/>
        </w:rPr>
        <w:t>)</w:t>
      </w:r>
    </w:p>
    <w:p w:rsidR="00CA480C" w:rsidRPr="00670AA8" w:rsidRDefault="00CA480C" w:rsidP="00CA480C">
      <w:pPr>
        <w:autoSpaceDE w:val="0"/>
        <w:autoSpaceDN w:val="0"/>
        <w:adjustRightInd w:val="0"/>
        <w:jc w:val="both"/>
        <w:rPr>
          <w:rFonts w:ascii="Calibri" w:eastAsia="Calibri" w:hAnsi="Calibri" w:cs="Calibri"/>
          <w:b/>
          <w:color w:val="244061" w:themeColor="accent1" w:themeShade="80"/>
          <w:sz w:val="10"/>
          <w:szCs w:val="22"/>
        </w:rPr>
      </w:pPr>
    </w:p>
    <w:p w:rsidR="00CA480C" w:rsidRDefault="00CA480C" w:rsidP="00CA480C">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Majority </w:t>
      </w:r>
      <w:r w:rsidR="00ED365D">
        <w:rPr>
          <w:rFonts w:ascii="Calibri" w:eastAsia="Calibri" w:hAnsi="Calibri" w:cs="Calibri"/>
          <w:b/>
          <w:color w:val="244061" w:themeColor="accent1" w:themeShade="80"/>
          <w:sz w:val="22"/>
          <w:szCs w:val="22"/>
        </w:rPr>
        <w:t xml:space="preserve">(more than 50%) </w:t>
      </w:r>
      <w:r>
        <w:rPr>
          <w:rFonts w:ascii="Calibri" w:eastAsia="Calibri" w:hAnsi="Calibri" w:cs="Calibri"/>
          <w:b/>
          <w:color w:val="244061" w:themeColor="accent1" w:themeShade="80"/>
          <w:sz w:val="22"/>
          <w:szCs w:val="22"/>
        </w:rPr>
        <w:t xml:space="preserve">of new hospital healthcare and medical research development to focus on </w:t>
      </w:r>
      <w:proofErr w:type="spellStart"/>
      <w:r>
        <w:rPr>
          <w:rFonts w:ascii="Calibri" w:eastAsia="Calibri" w:hAnsi="Calibri" w:cs="Calibri"/>
          <w:b/>
          <w:color w:val="244061" w:themeColor="accent1" w:themeShade="80"/>
          <w:sz w:val="22"/>
          <w:szCs w:val="22"/>
        </w:rPr>
        <w:t>Headington</w:t>
      </w:r>
      <w:proofErr w:type="spellEnd"/>
      <w:r>
        <w:rPr>
          <w:rFonts w:ascii="Calibri" w:eastAsia="Calibri" w:hAnsi="Calibri" w:cs="Calibri"/>
          <w:b/>
          <w:color w:val="244061" w:themeColor="accent1" w:themeShade="80"/>
          <w:sz w:val="22"/>
          <w:szCs w:val="22"/>
        </w:rPr>
        <w:t xml:space="preserve"> and Marston. 100% of new academic (teaching and study) development to focus on existing sites under the control of the universities.</w:t>
      </w:r>
    </w:p>
    <w:p w:rsidR="00ED365D" w:rsidRDefault="00ED365D" w:rsidP="00CA480C">
      <w:pPr>
        <w:autoSpaceDE w:val="0"/>
        <w:autoSpaceDN w:val="0"/>
        <w:adjustRightInd w:val="0"/>
        <w:jc w:val="both"/>
        <w:rPr>
          <w:rFonts w:ascii="Calibri" w:eastAsia="Calibri" w:hAnsi="Calibri" w:cs="Calibri"/>
          <w:b/>
          <w:color w:val="244061" w:themeColor="accent1" w:themeShade="80"/>
          <w:sz w:val="22"/>
          <w:szCs w:val="22"/>
        </w:rPr>
      </w:pPr>
      <w:r w:rsidRPr="00ED365D">
        <w:rPr>
          <w:rFonts w:ascii="Calibri" w:eastAsia="Calibri" w:hAnsi="Calibri" w:cs="Calibri"/>
          <w:color w:val="244061" w:themeColor="accent1" w:themeShade="80"/>
          <w:sz w:val="20"/>
          <w:szCs w:val="22"/>
        </w:rPr>
        <w:t>(Oxford Core Strategy</w:t>
      </w:r>
      <w:r>
        <w:rPr>
          <w:rFonts w:ascii="Calibri" w:eastAsia="Calibri" w:hAnsi="Calibri" w:cs="Calibri"/>
          <w:color w:val="244061" w:themeColor="accent1" w:themeShade="80"/>
          <w:sz w:val="20"/>
          <w:szCs w:val="22"/>
        </w:rPr>
        <w:t xml:space="preserve"> Policies CS29 &amp; CS30</w:t>
      </w:r>
      <w:r w:rsidRPr="00ED365D">
        <w:rPr>
          <w:rFonts w:ascii="Calibri" w:eastAsia="Calibri" w:hAnsi="Calibri" w:cs="Calibri"/>
          <w:color w:val="244061" w:themeColor="accent1" w:themeShade="80"/>
          <w:sz w:val="20"/>
          <w:szCs w:val="22"/>
        </w:rPr>
        <w:t>)</w:t>
      </w:r>
    </w:p>
    <w:p w:rsidR="00CA480C" w:rsidRDefault="00CA480C" w:rsidP="00CA480C">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CA480C" w:rsidTr="00682A91">
        <w:trPr>
          <w:trHeight w:val="218"/>
        </w:trPr>
        <w:tc>
          <w:tcPr>
            <w:tcW w:w="5420" w:type="dxa"/>
          </w:tcPr>
          <w:p w:rsidR="00CA480C" w:rsidRPr="00742A00" w:rsidRDefault="00CA480C"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CA480C" w:rsidRDefault="00CA480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CA480C" w:rsidTr="00682A91">
        <w:tc>
          <w:tcPr>
            <w:tcW w:w="5420" w:type="dxa"/>
            <w:vMerge w:val="restart"/>
          </w:tcPr>
          <w:p w:rsidR="00CA480C" w:rsidRPr="00E523A6" w:rsidRDefault="00CA480C" w:rsidP="00682A91">
            <w:pPr>
              <w:autoSpaceDE w:val="0"/>
              <w:autoSpaceDN w:val="0"/>
              <w:adjustRightInd w:val="0"/>
              <w:jc w:val="center"/>
              <w:rPr>
                <w:rFonts w:ascii="Calibri" w:eastAsia="Calibri" w:hAnsi="Calibri" w:cs="Calibri"/>
                <w:b/>
                <w:color w:val="244061" w:themeColor="accent1" w:themeShade="80"/>
                <w:sz w:val="8"/>
                <w:szCs w:val="8"/>
              </w:rPr>
            </w:pPr>
          </w:p>
          <w:p w:rsidR="00CA480C" w:rsidRPr="00742A00" w:rsidRDefault="001037C7" w:rsidP="00682A91">
            <w:pPr>
              <w:autoSpaceDE w:val="0"/>
              <w:autoSpaceDN w:val="0"/>
              <w:adjustRightInd w:val="0"/>
              <w:jc w:val="center"/>
              <w:rPr>
                <w:rFonts w:ascii="Calibri" w:eastAsia="Calibri" w:hAnsi="Calibri" w:cs="Calibri"/>
                <w:b/>
                <w:color w:val="244061" w:themeColor="accent1" w:themeShade="80"/>
                <w:sz w:val="12"/>
                <w:szCs w:val="12"/>
              </w:rPr>
            </w:pPr>
            <w:r w:rsidRPr="000B530E">
              <w:rPr>
                <w:b/>
                <w:noProof/>
                <w:color w:val="3F4F21"/>
                <w:sz w:val="32"/>
                <w:szCs w:val="32"/>
                <w:lang w:eastAsia="en-GB"/>
              </w:rPr>
              <w:drawing>
                <wp:inline distT="0" distB="0" distL="0" distR="0" wp14:anchorId="2AFCD08C" wp14:editId="3FD956FD">
                  <wp:extent cx="1666875" cy="501917"/>
                  <wp:effectExtent l="0" t="0" r="0" b="0"/>
                  <wp:docPr id="198" name="Picture 19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CA480C" w:rsidRDefault="00CA480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CA480C" w:rsidRDefault="00CA480C"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0FEAF05E" wp14:editId="4314126D">
                  <wp:extent cx="1085850" cy="326964"/>
                  <wp:effectExtent l="0" t="0" r="0" b="0"/>
                  <wp:docPr id="45" name="Picture 4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CA480C" w:rsidRPr="00E523A6" w:rsidRDefault="00CA480C" w:rsidP="00682A91">
            <w:pPr>
              <w:autoSpaceDE w:val="0"/>
              <w:autoSpaceDN w:val="0"/>
              <w:adjustRightInd w:val="0"/>
              <w:jc w:val="center"/>
              <w:rPr>
                <w:rFonts w:ascii="Calibri" w:eastAsia="Calibri" w:hAnsi="Calibri" w:cs="Calibri"/>
                <w:b/>
                <w:color w:val="244061" w:themeColor="accent1" w:themeShade="80"/>
                <w:sz w:val="8"/>
                <w:szCs w:val="8"/>
              </w:rPr>
            </w:pPr>
          </w:p>
        </w:tc>
      </w:tr>
      <w:tr w:rsidR="00CA480C" w:rsidTr="00682A91">
        <w:tc>
          <w:tcPr>
            <w:tcW w:w="5420" w:type="dxa"/>
            <w:vMerge/>
          </w:tcPr>
          <w:p w:rsidR="00CA480C" w:rsidRDefault="00CA480C"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CA480C" w:rsidRDefault="00CA480C"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CA480C" w:rsidRDefault="00CA480C"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7413B5FD" wp14:editId="3339954F">
                  <wp:extent cx="1085850" cy="326964"/>
                  <wp:effectExtent l="0" t="0" r="0" b="0"/>
                  <wp:docPr id="46" name="Picture 46"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923530" w:rsidRDefault="00923530" w:rsidP="00923530">
      <w:pPr>
        <w:autoSpaceDE w:val="0"/>
        <w:autoSpaceDN w:val="0"/>
        <w:adjustRightInd w:val="0"/>
        <w:jc w:val="both"/>
        <w:rPr>
          <w:rFonts w:ascii="Calibri" w:eastAsia="Calibri" w:hAnsi="Calibri" w:cs="Calibri"/>
          <w:color w:val="000000"/>
          <w:sz w:val="22"/>
          <w:szCs w:val="22"/>
        </w:rPr>
      </w:pPr>
    </w:p>
    <w:p w:rsidR="00100981" w:rsidRPr="00923530" w:rsidRDefault="00100981" w:rsidP="00923530">
      <w:pPr>
        <w:autoSpaceDE w:val="0"/>
        <w:autoSpaceDN w:val="0"/>
        <w:adjustRightInd w:val="0"/>
        <w:jc w:val="both"/>
        <w:rPr>
          <w:rFonts w:ascii="Calibri" w:eastAsia="Calibri" w:hAnsi="Calibri" w:cs="Calibri"/>
          <w:color w:val="000000"/>
          <w:sz w:val="22"/>
          <w:szCs w:val="22"/>
        </w:rPr>
      </w:pPr>
    </w:p>
    <w:p w:rsidR="00354A24" w:rsidRDefault="00BE2B37" w:rsidP="004335B5">
      <w:pPr>
        <w:numPr>
          <w:ilvl w:val="0"/>
          <w:numId w:val="8"/>
        </w:numPr>
        <w:spacing w:after="200" w:line="276" w:lineRule="auto"/>
        <w:jc w:val="both"/>
        <w:rPr>
          <w:rFonts w:ascii="Calibri" w:eastAsia="Calibri" w:hAnsi="Calibri" w:cs="Calibri"/>
          <w:color w:val="000000"/>
          <w:sz w:val="22"/>
          <w:szCs w:val="22"/>
        </w:rPr>
      </w:pPr>
      <w:r w:rsidRPr="00BE2B37">
        <w:rPr>
          <w:rFonts w:ascii="Calibri" w:eastAsia="Calibri" w:hAnsi="Calibri" w:cs="Calibri"/>
          <w:color w:val="000000"/>
          <w:sz w:val="22"/>
          <w:szCs w:val="22"/>
        </w:rPr>
        <w:t xml:space="preserve">This indicator looks at </w:t>
      </w:r>
      <w:r w:rsidR="006A738C">
        <w:rPr>
          <w:rFonts w:ascii="Calibri" w:eastAsia="Calibri" w:hAnsi="Calibri" w:cs="Calibri"/>
          <w:color w:val="000000"/>
          <w:sz w:val="22"/>
          <w:szCs w:val="22"/>
        </w:rPr>
        <w:t>developments</w:t>
      </w:r>
      <w:r w:rsidRPr="00BE2B37">
        <w:rPr>
          <w:rFonts w:ascii="Calibri" w:eastAsia="Calibri" w:hAnsi="Calibri" w:cs="Calibri"/>
          <w:color w:val="000000"/>
          <w:sz w:val="22"/>
          <w:szCs w:val="22"/>
        </w:rPr>
        <w:t xml:space="preserve"> permitted, under construction, and completed for B1a (office)</w:t>
      </w:r>
      <w:r w:rsidR="00616E4A">
        <w:rPr>
          <w:rFonts w:ascii="Calibri" w:eastAsia="Calibri" w:hAnsi="Calibri" w:cs="Calibri"/>
          <w:color w:val="000000"/>
          <w:sz w:val="22"/>
          <w:szCs w:val="22"/>
        </w:rPr>
        <w:t xml:space="preserve">, </w:t>
      </w:r>
      <w:r w:rsidRPr="00BE2B37">
        <w:rPr>
          <w:rFonts w:ascii="Calibri" w:eastAsia="Calibri" w:hAnsi="Calibri" w:cs="Calibri"/>
          <w:color w:val="000000"/>
          <w:sz w:val="22"/>
          <w:szCs w:val="22"/>
        </w:rPr>
        <w:t>B1b (research an</w:t>
      </w:r>
      <w:r w:rsidR="00354A24">
        <w:rPr>
          <w:rFonts w:ascii="Calibri" w:eastAsia="Calibri" w:hAnsi="Calibri" w:cs="Calibri"/>
          <w:color w:val="000000"/>
          <w:sz w:val="22"/>
          <w:szCs w:val="22"/>
        </w:rPr>
        <w:t xml:space="preserve">d development) </w:t>
      </w:r>
      <w:r w:rsidR="006270C0">
        <w:rPr>
          <w:rFonts w:ascii="Calibri" w:eastAsia="Calibri" w:hAnsi="Calibri" w:cs="Calibri"/>
          <w:color w:val="000000"/>
          <w:sz w:val="22"/>
          <w:szCs w:val="22"/>
        </w:rPr>
        <w:t xml:space="preserve">and </w:t>
      </w:r>
      <w:r w:rsidR="006270C0" w:rsidRPr="006C7E6E">
        <w:rPr>
          <w:rFonts w:ascii="Calibri" w:eastAsia="Calibri" w:hAnsi="Calibri" w:cs="Calibri"/>
          <w:color w:val="000000"/>
          <w:sz w:val="22"/>
          <w:szCs w:val="22"/>
        </w:rPr>
        <w:t xml:space="preserve">D1 </w:t>
      </w:r>
      <w:r w:rsidR="00616E4A">
        <w:rPr>
          <w:rFonts w:ascii="Calibri" w:eastAsia="Calibri" w:hAnsi="Calibri" w:cs="Calibri"/>
          <w:color w:val="000000"/>
          <w:sz w:val="22"/>
          <w:szCs w:val="22"/>
        </w:rPr>
        <w:t xml:space="preserve">(non-residential institution) </w:t>
      </w:r>
      <w:r w:rsidR="00354A24" w:rsidRPr="006C7E6E">
        <w:rPr>
          <w:rFonts w:ascii="Calibri" w:eastAsia="Calibri" w:hAnsi="Calibri" w:cs="Calibri"/>
          <w:color w:val="000000"/>
          <w:sz w:val="22"/>
          <w:szCs w:val="22"/>
        </w:rPr>
        <w:t>uses</w:t>
      </w:r>
      <w:r w:rsidR="00354A24">
        <w:rPr>
          <w:rFonts w:ascii="Calibri" w:eastAsia="Calibri" w:hAnsi="Calibri" w:cs="Calibri"/>
          <w:color w:val="000000"/>
          <w:sz w:val="22"/>
          <w:szCs w:val="22"/>
        </w:rPr>
        <w:t xml:space="preserve"> related to</w:t>
      </w:r>
      <w:r w:rsidR="006A738C">
        <w:rPr>
          <w:rFonts w:ascii="Calibri" w:eastAsia="Calibri" w:hAnsi="Calibri" w:cs="Calibri"/>
          <w:color w:val="000000"/>
          <w:sz w:val="22"/>
          <w:szCs w:val="22"/>
        </w:rPr>
        <w:t xml:space="preserve"> Oxford’s</w:t>
      </w:r>
      <w:r w:rsidR="00354A24">
        <w:rPr>
          <w:rFonts w:ascii="Calibri" w:eastAsia="Calibri" w:hAnsi="Calibri" w:cs="Calibri"/>
          <w:color w:val="000000"/>
          <w:sz w:val="22"/>
          <w:szCs w:val="22"/>
        </w:rPr>
        <w:t xml:space="preserve"> u</w:t>
      </w:r>
      <w:r w:rsidR="006A738C">
        <w:rPr>
          <w:rFonts w:ascii="Calibri" w:eastAsia="Calibri" w:hAnsi="Calibri" w:cs="Calibri"/>
          <w:color w:val="000000"/>
          <w:sz w:val="22"/>
          <w:szCs w:val="22"/>
        </w:rPr>
        <w:t>niversities and hospitals.</w:t>
      </w:r>
    </w:p>
    <w:tbl>
      <w:tblPr>
        <w:tblStyle w:val="TableGrid"/>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936"/>
        <w:gridCol w:w="1768"/>
        <w:gridCol w:w="1769"/>
        <w:gridCol w:w="1769"/>
      </w:tblGrid>
      <w:tr w:rsidR="006270C0" w:rsidTr="00616E4A">
        <w:tc>
          <w:tcPr>
            <w:tcW w:w="3936" w:type="dxa"/>
            <w:tcBorders>
              <w:top w:val="nil"/>
              <w:left w:val="nil"/>
            </w:tcBorders>
          </w:tcPr>
          <w:p w:rsidR="006270C0" w:rsidRPr="00354A24" w:rsidRDefault="006270C0" w:rsidP="00354A24">
            <w:pPr>
              <w:rPr>
                <w:rFonts w:asciiTheme="minorHAnsi" w:hAnsiTheme="minorHAnsi" w:cstheme="minorHAnsi"/>
                <w:b/>
                <w:sz w:val="20"/>
              </w:rPr>
            </w:pPr>
          </w:p>
        </w:tc>
        <w:tc>
          <w:tcPr>
            <w:tcW w:w="1768" w:type="dxa"/>
            <w:shd w:val="clear" w:color="auto" w:fill="DBE5F1" w:themeFill="accent1" w:themeFillTint="33"/>
          </w:tcPr>
          <w:p w:rsidR="006270C0" w:rsidRPr="00E7018D" w:rsidRDefault="006270C0" w:rsidP="00E8028F">
            <w:pPr>
              <w:jc w:val="center"/>
              <w:rPr>
                <w:rFonts w:asciiTheme="minorHAnsi" w:hAnsiTheme="minorHAnsi" w:cstheme="minorHAnsi"/>
                <w:color w:val="404040" w:themeColor="text1" w:themeTint="BF"/>
                <w:sz w:val="20"/>
              </w:rPr>
            </w:pPr>
            <w:r w:rsidRPr="00E7018D">
              <w:rPr>
                <w:rFonts w:asciiTheme="minorHAnsi" w:hAnsiTheme="minorHAnsi" w:cstheme="minorHAnsi"/>
                <w:b/>
                <w:color w:val="404040" w:themeColor="text1" w:themeTint="BF"/>
                <w:sz w:val="20"/>
              </w:rPr>
              <w:t xml:space="preserve">B1a </w:t>
            </w:r>
            <w:r w:rsidRPr="00E7018D">
              <w:rPr>
                <w:rFonts w:asciiTheme="minorHAnsi" w:hAnsiTheme="minorHAnsi" w:cstheme="minorHAnsi"/>
                <w:color w:val="404040" w:themeColor="text1" w:themeTint="BF"/>
                <w:sz w:val="20"/>
              </w:rPr>
              <w:t xml:space="preserve"> </w:t>
            </w:r>
          </w:p>
          <w:p w:rsidR="006270C0" w:rsidRPr="00E7018D" w:rsidRDefault="006270C0" w:rsidP="00E8028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(O</w:t>
            </w:r>
            <w:r w:rsidRPr="00E7018D">
              <w:rPr>
                <w:rFonts w:asciiTheme="minorHAnsi" w:hAnsiTheme="minorHAnsi" w:cstheme="minorHAnsi"/>
                <w:color w:val="404040" w:themeColor="text1" w:themeTint="BF"/>
                <w:sz w:val="20"/>
              </w:rPr>
              <w:t>ffices)</w:t>
            </w:r>
          </w:p>
        </w:tc>
        <w:tc>
          <w:tcPr>
            <w:tcW w:w="1769" w:type="dxa"/>
            <w:shd w:val="clear" w:color="auto" w:fill="DBE5F1" w:themeFill="accent1" w:themeFillTint="33"/>
          </w:tcPr>
          <w:p w:rsidR="006270C0" w:rsidRPr="00E7018D" w:rsidRDefault="006270C0" w:rsidP="00E8028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B1b </w:t>
            </w:r>
          </w:p>
          <w:p w:rsidR="006270C0" w:rsidRPr="00E7018D" w:rsidRDefault="006270C0" w:rsidP="00E8028F">
            <w:pPr>
              <w:jc w:val="center"/>
              <w:rPr>
                <w:rFonts w:asciiTheme="minorHAnsi" w:hAnsiTheme="minorHAnsi" w:cstheme="minorHAnsi"/>
                <w:b/>
                <w:color w:val="404040" w:themeColor="text1" w:themeTint="BF"/>
                <w:sz w:val="20"/>
              </w:rPr>
            </w:pPr>
            <w:r>
              <w:rPr>
                <w:rFonts w:asciiTheme="minorHAnsi" w:hAnsiTheme="minorHAnsi" w:cstheme="minorHAnsi"/>
                <w:color w:val="404040" w:themeColor="text1" w:themeTint="BF"/>
                <w:sz w:val="20"/>
              </w:rPr>
              <w:t>(R</w:t>
            </w:r>
            <w:r w:rsidRPr="00E7018D">
              <w:rPr>
                <w:rFonts w:asciiTheme="minorHAnsi" w:hAnsiTheme="minorHAnsi" w:cstheme="minorHAnsi"/>
                <w:color w:val="404040" w:themeColor="text1" w:themeTint="BF"/>
                <w:sz w:val="20"/>
              </w:rPr>
              <w:t xml:space="preserve">esearch and development) </w:t>
            </w:r>
          </w:p>
        </w:tc>
        <w:tc>
          <w:tcPr>
            <w:tcW w:w="1769" w:type="dxa"/>
            <w:shd w:val="clear" w:color="auto" w:fill="DBE5F1" w:themeFill="accent1" w:themeFillTint="33"/>
          </w:tcPr>
          <w:p w:rsidR="006270C0" w:rsidRDefault="006270C0" w:rsidP="00E8028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D1</w:t>
            </w:r>
          </w:p>
          <w:p w:rsidR="006270C0" w:rsidRPr="006270C0" w:rsidRDefault="006270C0" w:rsidP="00E8028F">
            <w:pPr>
              <w:jc w:val="center"/>
              <w:rPr>
                <w:rFonts w:asciiTheme="minorHAnsi" w:hAnsiTheme="minorHAnsi" w:cstheme="minorHAnsi"/>
                <w:color w:val="404040" w:themeColor="text1" w:themeTint="BF"/>
                <w:sz w:val="20"/>
              </w:rPr>
            </w:pPr>
            <w:r w:rsidRPr="006270C0">
              <w:rPr>
                <w:rFonts w:asciiTheme="minorHAnsi" w:hAnsiTheme="minorHAnsi" w:cstheme="minorHAnsi"/>
                <w:color w:val="404040" w:themeColor="text1" w:themeTint="BF"/>
                <w:sz w:val="20"/>
              </w:rPr>
              <w:t>(Non-residential institution)</w:t>
            </w:r>
          </w:p>
        </w:tc>
      </w:tr>
      <w:tr w:rsidR="006270C0" w:rsidTr="00616E4A">
        <w:tc>
          <w:tcPr>
            <w:tcW w:w="3936" w:type="dxa"/>
            <w:shd w:val="clear" w:color="auto" w:fill="DBE5F1" w:themeFill="accent1" w:themeFillTint="33"/>
          </w:tcPr>
          <w:p w:rsidR="006270C0" w:rsidRPr="00E7018D" w:rsidRDefault="006270C0" w:rsidP="00E8028F">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Permitted </w:t>
            </w:r>
            <w:r w:rsidRPr="00E7018D">
              <w:rPr>
                <w:rFonts w:asciiTheme="minorHAnsi" w:hAnsiTheme="minorHAnsi" w:cstheme="minorHAnsi"/>
                <w:color w:val="404040" w:themeColor="text1" w:themeTint="BF"/>
                <w:sz w:val="20"/>
              </w:rPr>
              <w:t xml:space="preserve">- Gross internal </w:t>
            </w:r>
            <w:proofErr w:type="spellStart"/>
            <w:r w:rsidRPr="00E7018D">
              <w:rPr>
                <w:rFonts w:asciiTheme="minorHAnsi" w:hAnsiTheme="minorHAnsi" w:cstheme="minorHAnsi"/>
                <w:color w:val="404040" w:themeColor="text1" w:themeTint="BF"/>
                <w:sz w:val="20"/>
              </w:rPr>
              <w:t>floorspace</w:t>
            </w:r>
            <w:proofErr w:type="spellEnd"/>
            <w:r w:rsidRPr="00E7018D">
              <w:rPr>
                <w:rFonts w:asciiTheme="minorHAnsi" w:hAnsiTheme="minorHAnsi" w:cstheme="minorHAnsi"/>
                <w:color w:val="404040" w:themeColor="text1" w:themeTint="BF"/>
                <w:sz w:val="20"/>
              </w:rPr>
              <w:t xml:space="preserve"> </w:t>
            </w:r>
            <w:r w:rsidRPr="00E7018D">
              <w:rPr>
                <w:rFonts w:asciiTheme="minorHAnsi" w:hAnsiTheme="minorHAnsi" w:cstheme="minorHAnsi"/>
                <w:color w:val="404040" w:themeColor="text1" w:themeTint="BF"/>
                <w:sz w:val="22"/>
              </w:rPr>
              <w:t>(</w:t>
            </w:r>
            <w:r w:rsidRPr="00E7018D">
              <w:rPr>
                <w:rFonts w:asciiTheme="minorHAnsi" w:hAnsiTheme="minorHAnsi" w:cstheme="minorHAnsi"/>
                <w:color w:val="404040" w:themeColor="text1" w:themeTint="BF"/>
                <w:sz w:val="20"/>
              </w:rPr>
              <w:t>m</w:t>
            </w:r>
            <w:r w:rsidRPr="00E7018D">
              <w:rPr>
                <w:rFonts w:asciiTheme="minorHAnsi" w:hAnsiTheme="minorHAnsi" w:cstheme="minorHAnsi"/>
                <w:color w:val="404040" w:themeColor="text1" w:themeTint="BF"/>
                <w:sz w:val="20"/>
                <w:vertAlign w:val="superscript"/>
              </w:rPr>
              <w:t>2</w:t>
            </w:r>
            <w:r w:rsidRPr="00E7018D">
              <w:rPr>
                <w:rFonts w:asciiTheme="minorHAnsi" w:hAnsiTheme="minorHAnsi" w:cstheme="minorHAnsi"/>
                <w:color w:val="404040" w:themeColor="text1" w:themeTint="BF"/>
                <w:sz w:val="20"/>
              </w:rPr>
              <w:t xml:space="preserve">) </w:t>
            </w:r>
          </w:p>
        </w:tc>
        <w:tc>
          <w:tcPr>
            <w:tcW w:w="1768" w:type="dxa"/>
            <w:shd w:val="clear" w:color="auto" w:fill="auto"/>
          </w:tcPr>
          <w:p w:rsidR="006270C0" w:rsidRPr="00E7018D" w:rsidRDefault="006270C0" w:rsidP="00E8028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769" w:type="dxa"/>
            <w:shd w:val="clear" w:color="auto" w:fill="auto"/>
          </w:tcPr>
          <w:p w:rsidR="006270C0" w:rsidRPr="00E7018D" w:rsidRDefault="006270C0" w:rsidP="00E8028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769" w:type="dxa"/>
          </w:tcPr>
          <w:p w:rsidR="006270C0" w:rsidRDefault="006270C0" w:rsidP="00E8028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 xml:space="preserve">48,000 </w:t>
            </w:r>
            <w:r w:rsidR="00616E4A" w:rsidRPr="00616E4A">
              <w:rPr>
                <w:rFonts w:asciiTheme="minorHAnsi" w:hAnsiTheme="minorHAnsi" w:cstheme="minorHAnsi"/>
                <w:color w:val="404040" w:themeColor="text1" w:themeTint="BF"/>
                <w:sz w:val="18"/>
              </w:rPr>
              <w:t>(</w:t>
            </w:r>
            <w:r w:rsidRPr="00616E4A">
              <w:rPr>
                <w:rFonts w:asciiTheme="minorHAnsi" w:hAnsiTheme="minorHAnsi" w:cstheme="minorHAnsi"/>
                <w:color w:val="404040" w:themeColor="text1" w:themeTint="BF"/>
                <w:sz w:val="18"/>
              </w:rPr>
              <w:t>outline</w:t>
            </w:r>
            <w:r w:rsidR="00616E4A" w:rsidRPr="00616E4A">
              <w:rPr>
                <w:rFonts w:asciiTheme="minorHAnsi" w:hAnsiTheme="minorHAnsi" w:cstheme="minorHAnsi"/>
                <w:color w:val="404040" w:themeColor="text1" w:themeTint="BF"/>
                <w:sz w:val="18"/>
              </w:rPr>
              <w:t>)</w:t>
            </w:r>
          </w:p>
        </w:tc>
      </w:tr>
      <w:tr w:rsidR="006270C0" w:rsidTr="00616E4A">
        <w:tc>
          <w:tcPr>
            <w:tcW w:w="3936" w:type="dxa"/>
            <w:shd w:val="clear" w:color="auto" w:fill="DBE5F1" w:themeFill="accent1" w:themeFillTint="33"/>
          </w:tcPr>
          <w:p w:rsidR="006270C0" w:rsidRPr="00E7018D" w:rsidRDefault="006270C0" w:rsidP="00E8028F">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Commenced - </w:t>
            </w:r>
            <w:r w:rsidRPr="00E7018D">
              <w:rPr>
                <w:rFonts w:asciiTheme="minorHAnsi" w:hAnsiTheme="minorHAnsi" w:cstheme="minorHAnsi"/>
                <w:color w:val="404040" w:themeColor="text1" w:themeTint="BF"/>
                <w:sz w:val="20"/>
              </w:rPr>
              <w:t xml:space="preserve">Gross internal </w:t>
            </w:r>
            <w:proofErr w:type="spellStart"/>
            <w:r w:rsidRPr="00E7018D">
              <w:rPr>
                <w:rFonts w:asciiTheme="minorHAnsi" w:hAnsiTheme="minorHAnsi" w:cstheme="minorHAnsi"/>
                <w:color w:val="404040" w:themeColor="text1" w:themeTint="BF"/>
                <w:sz w:val="20"/>
              </w:rPr>
              <w:t>floorspace</w:t>
            </w:r>
            <w:proofErr w:type="spellEnd"/>
            <w:r w:rsidRPr="00E7018D">
              <w:rPr>
                <w:rFonts w:asciiTheme="minorHAnsi" w:hAnsiTheme="minorHAnsi" w:cstheme="minorHAnsi"/>
                <w:color w:val="404040" w:themeColor="text1" w:themeTint="BF"/>
                <w:sz w:val="20"/>
              </w:rPr>
              <w:t xml:space="preserve"> </w:t>
            </w:r>
            <w:r w:rsidRPr="00E7018D">
              <w:rPr>
                <w:rFonts w:asciiTheme="minorHAnsi" w:hAnsiTheme="minorHAnsi" w:cstheme="minorHAnsi"/>
                <w:color w:val="404040" w:themeColor="text1" w:themeTint="BF"/>
                <w:sz w:val="22"/>
              </w:rPr>
              <w:t>(</w:t>
            </w:r>
            <w:r w:rsidRPr="00E7018D">
              <w:rPr>
                <w:rFonts w:asciiTheme="minorHAnsi" w:hAnsiTheme="minorHAnsi" w:cstheme="minorHAnsi"/>
                <w:color w:val="404040" w:themeColor="text1" w:themeTint="BF"/>
                <w:sz w:val="20"/>
              </w:rPr>
              <w:t>m</w:t>
            </w:r>
            <w:r w:rsidRPr="00E7018D">
              <w:rPr>
                <w:rFonts w:asciiTheme="minorHAnsi" w:hAnsiTheme="minorHAnsi" w:cstheme="minorHAnsi"/>
                <w:color w:val="404040" w:themeColor="text1" w:themeTint="BF"/>
                <w:sz w:val="20"/>
                <w:vertAlign w:val="superscript"/>
              </w:rPr>
              <w:t>2</w:t>
            </w:r>
            <w:r w:rsidRPr="00E7018D">
              <w:rPr>
                <w:rFonts w:asciiTheme="minorHAnsi" w:hAnsiTheme="minorHAnsi" w:cstheme="minorHAnsi"/>
                <w:color w:val="404040" w:themeColor="text1" w:themeTint="BF"/>
                <w:sz w:val="20"/>
              </w:rPr>
              <w:t xml:space="preserve">) </w:t>
            </w:r>
          </w:p>
        </w:tc>
        <w:tc>
          <w:tcPr>
            <w:tcW w:w="1768" w:type="dxa"/>
            <w:shd w:val="clear" w:color="auto" w:fill="auto"/>
          </w:tcPr>
          <w:p w:rsidR="006270C0" w:rsidRPr="00E7018D" w:rsidRDefault="006270C0" w:rsidP="00E8028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769" w:type="dxa"/>
            <w:shd w:val="clear" w:color="auto" w:fill="auto"/>
          </w:tcPr>
          <w:p w:rsidR="006270C0" w:rsidRPr="00E7018D" w:rsidRDefault="006270C0" w:rsidP="00E8028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w:t>
            </w:r>
          </w:p>
        </w:tc>
        <w:tc>
          <w:tcPr>
            <w:tcW w:w="1769" w:type="dxa"/>
          </w:tcPr>
          <w:p w:rsidR="006270C0" w:rsidRPr="00E7018D" w:rsidRDefault="006270C0" w:rsidP="00E8028F">
            <w:pPr>
              <w:jc w:val="center"/>
              <w:rPr>
                <w:rFonts w:asciiTheme="minorHAnsi" w:hAnsiTheme="minorHAnsi" w:cstheme="minorHAnsi"/>
                <w:color w:val="404040" w:themeColor="text1" w:themeTint="BF"/>
                <w:sz w:val="20"/>
              </w:rPr>
            </w:pPr>
          </w:p>
        </w:tc>
      </w:tr>
      <w:tr w:rsidR="006270C0" w:rsidTr="00616E4A">
        <w:trPr>
          <w:trHeight w:val="70"/>
        </w:trPr>
        <w:tc>
          <w:tcPr>
            <w:tcW w:w="3936" w:type="dxa"/>
            <w:shd w:val="clear" w:color="auto" w:fill="DBE5F1" w:themeFill="accent1" w:themeFillTint="33"/>
          </w:tcPr>
          <w:p w:rsidR="006270C0" w:rsidRPr="00E7018D" w:rsidRDefault="006270C0" w:rsidP="00E8028F">
            <w:pP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Completed </w:t>
            </w:r>
            <w:r w:rsidRPr="00E7018D">
              <w:rPr>
                <w:rFonts w:asciiTheme="minorHAnsi" w:hAnsiTheme="minorHAnsi" w:cstheme="minorHAnsi"/>
                <w:color w:val="404040" w:themeColor="text1" w:themeTint="BF"/>
                <w:sz w:val="20"/>
              </w:rPr>
              <w:t xml:space="preserve">- Gross internal </w:t>
            </w:r>
            <w:proofErr w:type="spellStart"/>
            <w:r w:rsidRPr="00E7018D">
              <w:rPr>
                <w:rFonts w:asciiTheme="minorHAnsi" w:hAnsiTheme="minorHAnsi" w:cstheme="minorHAnsi"/>
                <w:color w:val="404040" w:themeColor="text1" w:themeTint="BF"/>
                <w:sz w:val="20"/>
              </w:rPr>
              <w:t>floorspace</w:t>
            </w:r>
            <w:proofErr w:type="spellEnd"/>
            <w:r w:rsidRPr="00E7018D">
              <w:rPr>
                <w:rFonts w:asciiTheme="minorHAnsi" w:hAnsiTheme="minorHAnsi" w:cstheme="minorHAnsi"/>
                <w:color w:val="404040" w:themeColor="text1" w:themeTint="BF"/>
                <w:sz w:val="20"/>
              </w:rPr>
              <w:t xml:space="preserve"> </w:t>
            </w:r>
            <w:r w:rsidRPr="00E7018D">
              <w:rPr>
                <w:rFonts w:asciiTheme="minorHAnsi" w:hAnsiTheme="minorHAnsi" w:cstheme="minorHAnsi"/>
                <w:color w:val="404040" w:themeColor="text1" w:themeTint="BF"/>
                <w:sz w:val="22"/>
              </w:rPr>
              <w:t>(</w:t>
            </w:r>
            <w:r w:rsidRPr="00E7018D">
              <w:rPr>
                <w:rFonts w:asciiTheme="minorHAnsi" w:hAnsiTheme="minorHAnsi" w:cstheme="minorHAnsi"/>
                <w:color w:val="404040" w:themeColor="text1" w:themeTint="BF"/>
                <w:sz w:val="20"/>
              </w:rPr>
              <w:t>m</w:t>
            </w:r>
            <w:r w:rsidRPr="00E7018D">
              <w:rPr>
                <w:rFonts w:asciiTheme="minorHAnsi" w:hAnsiTheme="minorHAnsi" w:cstheme="minorHAnsi"/>
                <w:color w:val="404040" w:themeColor="text1" w:themeTint="BF"/>
                <w:sz w:val="20"/>
                <w:vertAlign w:val="superscript"/>
              </w:rPr>
              <w:t>2</w:t>
            </w:r>
            <w:r w:rsidRPr="00E7018D">
              <w:rPr>
                <w:rFonts w:asciiTheme="minorHAnsi" w:hAnsiTheme="minorHAnsi" w:cstheme="minorHAnsi"/>
                <w:color w:val="404040" w:themeColor="text1" w:themeTint="BF"/>
                <w:sz w:val="20"/>
              </w:rPr>
              <w:t xml:space="preserve">) </w:t>
            </w:r>
          </w:p>
        </w:tc>
        <w:tc>
          <w:tcPr>
            <w:tcW w:w="1768" w:type="dxa"/>
            <w:shd w:val="clear" w:color="auto" w:fill="auto"/>
          </w:tcPr>
          <w:p w:rsidR="006270C0" w:rsidRPr="00E7018D" w:rsidRDefault="006270C0" w:rsidP="00E8028F">
            <w:pPr>
              <w:jc w:val="center"/>
              <w:rPr>
                <w:rFonts w:asciiTheme="minorHAnsi" w:hAnsiTheme="minorHAnsi" w:cstheme="minorHAnsi"/>
                <w:color w:val="404040" w:themeColor="text1" w:themeTint="BF"/>
                <w:sz w:val="18"/>
              </w:rPr>
            </w:pPr>
            <w:r w:rsidRPr="00E7018D">
              <w:rPr>
                <w:rFonts w:asciiTheme="minorHAnsi" w:hAnsiTheme="minorHAnsi" w:cstheme="minorHAnsi"/>
                <w:color w:val="404040" w:themeColor="text1" w:themeTint="BF"/>
                <w:sz w:val="20"/>
              </w:rPr>
              <w:t>-</w:t>
            </w:r>
          </w:p>
        </w:tc>
        <w:tc>
          <w:tcPr>
            <w:tcW w:w="1769" w:type="dxa"/>
            <w:shd w:val="clear" w:color="auto" w:fill="auto"/>
          </w:tcPr>
          <w:p w:rsidR="006270C0" w:rsidRPr="00E7018D" w:rsidRDefault="006270C0" w:rsidP="00E8028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18"/>
              </w:rPr>
              <w:t>11,507</w:t>
            </w:r>
          </w:p>
        </w:tc>
        <w:tc>
          <w:tcPr>
            <w:tcW w:w="1769" w:type="dxa"/>
          </w:tcPr>
          <w:p w:rsidR="006270C0" w:rsidRPr="00E7018D" w:rsidRDefault="006270C0" w:rsidP="00E8028F">
            <w:pPr>
              <w:jc w:val="center"/>
              <w:rPr>
                <w:rFonts w:asciiTheme="minorHAnsi" w:hAnsiTheme="minorHAnsi" w:cstheme="minorHAnsi"/>
                <w:color w:val="404040" w:themeColor="text1" w:themeTint="BF"/>
                <w:sz w:val="18"/>
              </w:rPr>
            </w:pPr>
          </w:p>
        </w:tc>
      </w:tr>
    </w:tbl>
    <w:p w:rsidR="00354A24" w:rsidRPr="00BE2B37" w:rsidRDefault="00354A24" w:rsidP="00354A24">
      <w:pPr>
        <w:rPr>
          <w:rFonts w:ascii="Calibri" w:hAnsi="Calibri" w:cs="Calibri"/>
          <w:b/>
          <w:sz w:val="6"/>
          <w:szCs w:val="6"/>
        </w:rPr>
      </w:pPr>
    </w:p>
    <w:p w:rsidR="00354A24" w:rsidRPr="00100981" w:rsidRDefault="00354A24" w:rsidP="00354A24">
      <w:pPr>
        <w:jc w:val="center"/>
        <w:rPr>
          <w:rFonts w:ascii="Calibri" w:hAnsi="Calibri" w:cs="Calibri"/>
          <w:sz w:val="20"/>
          <w:szCs w:val="18"/>
        </w:rPr>
      </w:pPr>
      <w:r w:rsidRPr="00100981">
        <w:rPr>
          <w:rFonts w:ascii="Calibri" w:hAnsi="Calibri" w:cs="Calibri"/>
          <w:b/>
          <w:sz w:val="20"/>
          <w:szCs w:val="18"/>
        </w:rPr>
        <w:t xml:space="preserve">Figure 5: </w:t>
      </w:r>
      <w:r w:rsidRPr="00100981">
        <w:rPr>
          <w:rFonts w:ascii="Calibri" w:hAnsi="Calibri" w:cs="Calibri"/>
          <w:sz w:val="20"/>
          <w:szCs w:val="18"/>
        </w:rPr>
        <w:t xml:space="preserve">Completions, commencements and permissions </w:t>
      </w:r>
      <w:r w:rsidR="00616E4A">
        <w:rPr>
          <w:rFonts w:ascii="Calibri" w:hAnsi="Calibri" w:cs="Calibri"/>
          <w:sz w:val="20"/>
          <w:szCs w:val="18"/>
        </w:rPr>
        <w:t xml:space="preserve">for </w:t>
      </w:r>
      <w:proofErr w:type="gramStart"/>
      <w:r w:rsidR="00616E4A">
        <w:rPr>
          <w:rFonts w:ascii="Calibri" w:hAnsi="Calibri" w:cs="Calibri"/>
          <w:sz w:val="20"/>
          <w:szCs w:val="18"/>
        </w:rPr>
        <w:t>B1a ,</w:t>
      </w:r>
      <w:proofErr w:type="gramEnd"/>
      <w:r w:rsidR="00616E4A">
        <w:rPr>
          <w:rFonts w:ascii="Calibri" w:hAnsi="Calibri" w:cs="Calibri"/>
          <w:sz w:val="20"/>
          <w:szCs w:val="18"/>
        </w:rPr>
        <w:t xml:space="preserve"> </w:t>
      </w:r>
      <w:r w:rsidRPr="00100981">
        <w:rPr>
          <w:rFonts w:ascii="Calibri" w:hAnsi="Calibri" w:cs="Calibri"/>
          <w:sz w:val="20"/>
          <w:szCs w:val="18"/>
        </w:rPr>
        <w:t>B1b</w:t>
      </w:r>
      <w:r w:rsidR="00616E4A">
        <w:rPr>
          <w:rFonts w:ascii="Calibri" w:hAnsi="Calibri" w:cs="Calibri"/>
          <w:sz w:val="20"/>
          <w:szCs w:val="18"/>
        </w:rPr>
        <w:t xml:space="preserve"> and D1</w:t>
      </w:r>
      <w:r w:rsidRPr="00100981">
        <w:rPr>
          <w:rFonts w:ascii="Calibri" w:hAnsi="Calibri" w:cs="Calibri"/>
          <w:sz w:val="20"/>
          <w:szCs w:val="18"/>
        </w:rPr>
        <w:t xml:space="preserve"> uses</w:t>
      </w:r>
    </w:p>
    <w:p w:rsidR="00354A24" w:rsidRPr="00100981" w:rsidRDefault="00354A24" w:rsidP="00354A24">
      <w:pPr>
        <w:jc w:val="center"/>
        <w:rPr>
          <w:rFonts w:ascii="Calibri" w:hAnsi="Calibri" w:cs="Calibri"/>
          <w:sz w:val="20"/>
          <w:szCs w:val="18"/>
        </w:rPr>
      </w:pPr>
      <w:proofErr w:type="gramStart"/>
      <w:r w:rsidRPr="00100981">
        <w:rPr>
          <w:rFonts w:ascii="Calibri" w:hAnsi="Calibri" w:cs="Calibri"/>
          <w:sz w:val="20"/>
          <w:szCs w:val="18"/>
        </w:rPr>
        <w:t>relating</w:t>
      </w:r>
      <w:proofErr w:type="gramEnd"/>
      <w:r w:rsidRPr="00100981">
        <w:rPr>
          <w:rFonts w:ascii="Calibri" w:hAnsi="Calibri" w:cs="Calibri"/>
          <w:sz w:val="20"/>
          <w:szCs w:val="18"/>
        </w:rPr>
        <w:t xml:space="preserve"> to hospital healthcare, medical research </w:t>
      </w:r>
      <w:r w:rsidR="006A738C">
        <w:rPr>
          <w:rFonts w:ascii="Calibri" w:hAnsi="Calibri" w:cs="Calibri"/>
          <w:sz w:val="20"/>
          <w:szCs w:val="18"/>
        </w:rPr>
        <w:t xml:space="preserve">and </w:t>
      </w:r>
      <w:r w:rsidRPr="00100981">
        <w:rPr>
          <w:rFonts w:ascii="Calibri" w:hAnsi="Calibri" w:cs="Calibri"/>
          <w:sz w:val="20"/>
          <w:szCs w:val="18"/>
        </w:rPr>
        <w:t xml:space="preserve">academic uses </w:t>
      </w:r>
      <w:r w:rsidR="006A738C">
        <w:rPr>
          <w:rFonts w:ascii="Calibri" w:hAnsi="Calibri" w:cs="Calibri"/>
          <w:sz w:val="20"/>
          <w:szCs w:val="18"/>
        </w:rPr>
        <w:t xml:space="preserve">in </w:t>
      </w:r>
      <w:r w:rsidRPr="00100981">
        <w:rPr>
          <w:rFonts w:ascii="Calibri" w:hAnsi="Calibri" w:cs="Calibri"/>
          <w:sz w:val="20"/>
          <w:szCs w:val="18"/>
        </w:rPr>
        <w:t>2013/14</w:t>
      </w:r>
    </w:p>
    <w:p w:rsidR="00354A24" w:rsidRDefault="00354A24" w:rsidP="00354A24">
      <w:pPr>
        <w:spacing w:after="200"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E7018D" w:rsidRDefault="00354A24"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Figure 5 show</w:t>
      </w:r>
      <w:r w:rsidRPr="00354A24">
        <w:rPr>
          <w:rFonts w:ascii="Calibri" w:eastAsia="Calibri" w:hAnsi="Calibri" w:cs="Calibri"/>
          <w:color w:val="000000"/>
          <w:sz w:val="22"/>
          <w:szCs w:val="22"/>
        </w:rPr>
        <w:t xml:space="preserve">s that </w:t>
      </w:r>
      <w:r w:rsidR="006A738C">
        <w:rPr>
          <w:rFonts w:ascii="Calibri" w:eastAsia="Calibri" w:hAnsi="Calibri" w:cs="Calibri"/>
          <w:color w:val="000000"/>
          <w:sz w:val="22"/>
          <w:szCs w:val="22"/>
        </w:rPr>
        <w:t xml:space="preserve">no </w:t>
      </w:r>
      <w:r w:rsidRPr="00354A24">
        <w:rPr>
          <w:rFonts w:ascii="Calibri" w:eastAsia="Calibri" w:hAnsi="Calibri" w:cs="Calibri"/>
          <w:color w:val="000000"/>
          <w:sz w:val="22"/>
          <w:szCs w:val="22"/>
        </w:rPr>
        <w:t xml:space="preserve">Class B1a </w:t>
      </w:r>
      <w:proofErr w:type="spellStart"/>
      <w:r w:rsidRPr="00354A24">
        <w:rPr>
          <w:rFonts w:ascii="Calibri" w:eastAsia="Calibri" w:hAnsi="Calibri" w:cs="Calibri"/>
          <w:color w:val="000000"/>
          <w:sz w:val="22"/>
          <w:szCs w:val="22"/>
        </w:rPr>
        <w:t>floorspace</w:t>
      </w:r>
      <w:proofErr w:type="spellEnd"/>
      <w:r w:rsidRPr="00354A24">
        <w:rPr>
          <w:rFonts w:ascii="Calibri" w:eastAsia="Calibri" w:hAnsi="Calibri" w:cs="Calibri"/>
          <w:color w:val="000000"/>
          <w:sz w:val="22"/>
          <w:szCs w:val="22"/>
        </w:rPr>
        <w:t xml:space="preserve"> related to </w:t>
      </w:r>
      <w:r w:rsidR="006A738C">
        <w:rPr>
          <w:rFonts w:ascii="Calibri" w:eastAsia="Calibri" w:hAnsi="Calibri" w:cs="Calibri"/>
          <w:color w:val="000000"/>
          <w:sz w:val="22"/>
          <w:szCs w:val="22"/>
        </w:rPr>
        <w:t xml:space="preserve">Oxford’s hospitals and </w:t>
      </w:r>
      <w:r w:rsidRPr="00354A24">
        <w:rPr>
          <w:rFonts w:ascii="Calibri" w:eastAsia="Calibri" w:hAnsi="Calibri" w:cs="Calibri"/>
          <w:color w:val="000000"/>
          <w:sz w:val="22"/>
          <w:szCs w:val="22"/>
        </w:rPr>
        <w:t>universiti</w:t>
      </w:r>
      <w:r w:rsidR="006A738C">
        <w:rPr>
          <w:rFonts w:ascii="Calibri" w:eastAsia="Calibri" w:hAnsi="Calibri" w:cs="Calibri"/>
          <w:color w:val="000000"/>
          <w:sz w:val="22"/>
          <w:szCs w:val="22"/>
        </w:rPr>
        <w:t xml:space="preserve">es was </w:t>
      </w:r>
      <w:r w:rsidRPr="00354A24">
        <w:rPr>
          <w:rFonts w:ascii="Calibri" w:eastAsia="Calibri" w:hAnsi="Calibri" w:cs="Calibri"/>
          <w:color w:val="000000"/>
          <w:sz w:val="22"/>
          <w:szCs w:val="22"/>
        </w:rPr>
        <w:t>permitted, commenced or completed during the monitoring year.</w:t>
      </w:r>
      <w:r w:rsidR="006A738C">
        <w:rPr>
          <w:rFonts w:ascii="Calibri" w:eastAsia="Calibri" w:hAnsi="Calibri" w:cs="Calibri"/>
          <w:color w:val="000000"/>
          <w:sz w:val="22"/>
          <w:szCs w:val="22"/>
        </w:rPr>
        <w:t xml:space="preserve"> However,</w:t>
      </w:r>
      <w:r w:rsidR="00C46D2D">
        <w:rPr>
          <w:rFonts w:ascii="Calibri" w:eastAsia="Calibri" w:hAnsi="Calibri" w:cs="Calibri"/>
          <w:color w:val="000000"/>
          <w:sz w:val="22"/>
          <w:szCs w:val="22"/>
        </w:rPr>
        <w:t xml:space="preserve"> </w:t>
      </w:r>
      <w:r w:rsidRPr="00354A24">
        <w:rPr>
          <w:rFonts w:ascii="Calibri" w:eastAsia="Calibri" w:hAnsi="Calibri" w:cs="Calibri"/>
          <w:color w:val="000000"/>
          <w:sz w:val="22"/>
          <w:szCs w:val="22"/>
        </w:rPr>
        <w:t>11,507m</w:t>
      </w:r>
      <w:r w:rsidRPr="006A738C">
        <w:rPr>
          <w:rFonts w:ascii="Calibri" w:eastAsia="Calibri" w:hAnsi="Calibri" w:cs="Calibri"/>
          <w:color w:val="000000"/>
          <w:sz w:val="22"/>
          <w:szCs w:val="22"/>
          <w:vertAlign w:val="superscript"/>
        </w:rPr>
        <w:t>2</w:t>
      </w:r>
      <w:r w:rsidRPr="00354A24">
        <w:rPr>
          <w:rFonts w:ascii="Calibri" w:eastAsia="Calibri" w:hAnsi="Calibri" w:cs="Calibri"/>
          <w:color w:val="000000"/>
          <w:sz w:val="22"/>
          <w:szCs w:val="22"/>
        </w:rPr>
        <w:t xml:space="preserve"> of B1b </w:t>
      </w:r>
      <w:proofErr w:type="spellStart"/>
      <w:r w:rsidRPr="00354A24">
        <w:rPr>
          <w:rFonts w:ascii="Calibri" w:eastAsia="Calibri" w:hAnsi="Calibri" w:cs="Calibri"/>
          <w:color w:val="000000"/>
          <w:sz w:val="22"/>
          <w:szCs w:val="22"/>
        </w:rPr>
        <w:t>floorspace</w:t>
      </w:r>
      <w:proofErr w:type="spellEnd"/>
      <w:r w:rsidRPr="00354A24">
        <w:rPr>
          <w:rFonts w:ascii="Calibri" w:eastAsia="Calibri" w:hAnsi="Calibri" w:cs="Calibri"/>
          <w:color w:val="000000"/>
          <w:sz w:val="22"/>
          <w:szCs w:val="22"/>
        </w:rPr>
        <w:t xml:space="preserve"> was completed, with two University of Oxford medical research buildings being completed in June 2013. T</w:t>
      </w:r>
      <w:r>
        <w:rPr>
          <w:rFonts w:ascii="Calibri" w:eastAsia="Calibri" w:hAnsi="Calibri" w:cs="Calibri"/>
          <w:color w:val="000000"/>
          <w:sz w:val="22"/>
          <w:szCs w:val="22"/>
        </w:rPr>
        <w:t>his</w:t>
      </w:r>
      <w:r w:rsidR="00E82424">
        <w:rPr>
          <w:rFonts w:ascii="Calibri" w:eastAsia="Calibri" w:hAnsi="Calibri" w:cs="Calibri"/>
          <w:color w:val="000000"/>
          <w:sz w:val="22"/>
          <w:szCs w:val="22"/>
        </w:rPr>
        <w:t xml:space="preserve"> development was on an existing university site.</w:t>
      </w:r>
    </w:p>
    <w:p w:rsidR="00E82424" w:rsidRPr="006270C0" w:rsidRDefault="006270C0" w:rsidP="00E82424">
      <w:pPr>
        <w:numPr>
          <w:ilvl w:val="0"/>
          <w:numId w:val="8"/>
        </w:numPr>
        <w:spacing w:after="200" w:line="276" w:lineRule="auto"/>
        <w:jc w:val="both"/>
        <w:rPr>
          <w:rFonts w:ascii="Calibri" w:eastAsia="Calibri" w:hAnsi="Calibri" w:cs="Calibri"/>
          <w:color w:val="000000"/>
          <w:sz w:val="22"/>
          <w:szCs w:val="22"/>
        </w:rPr>
      </w:pPr>
      <w:r w:rsidRPr="00B35376">
        <w:rPr>
          <w:rFonts w:ascii="Calibri" w:eastAsia="Calibri" w:hAnsi="Calibri" w:cs="Calibri"/>
          <w:color w:val="000000"/>
          <w:sz w:val="22"/>
          <w:szCs w:val="22"/>
        </w:rPr>
        <w:t>Outline planning permission was granted for 48,000m</w:t>
      </w:r>
      <w:r w:rsidRPr="00B35376">
        <w:rPr>
          <w:rFonts w:ascii="Calibri" w:eastAsia="Calibri" w:hAnsi="Calibri" w:cs="Calibri"/>
          <w:color w:val="000000"/>
          <w:sz w:val="22"/>
          <w:szCs w:val="22"/>
          <w:vertAlign w:val="superscript"/>
        </w:rPr>
        <w:t>2</w:t>
      </w:r>
      <w:r w:rsidRPr="00B35376">
        <w:rPr>
          <w:rFonts w:ascii="Calibri" w:eastAsia="Calibri" w:hAnsi="Calibri" w:cs="Calibri"/>
          <w:color w:val="000000"/>
          <w:sz w:val="22"/>
          <w:szCs w:val="22"/>
        </w:rPr>
        <w:t xml:space="preserve"> of Class D1 office </w:t>
      </w:r>
      <w:proofErr w:type="spellStart"/>
      <w:r w:rsidRPr="00B35376">
        <w:rPr>
          <w:rFonts w:ascii="Calibri" w:eastAsia="Calibri" w:hAnsi="Calibri" w:cs="Calibri"/>
          <w:color w:val="000000"/>
          <w:sz w:val="22"/>
          <w:szCs w:val="22"/>
        </w:rPr>
        <w:t>floorspace</w:t>
      </w:r>
      <w:proofErr w:type="spellEnd"/>
      <w:r w:rsidRPr="00B35376">
        <w:rPr>
          <w:rFonts w:ascii="Calibri" w:eastAsia="Calibri" w:hAnsi="Calibri" w:cs="Calibri"/>
          <w:color w:val="000000"/>
          <w:sz w:val="22"/>
          <w:szCs w:val="22"/>
        </w:rPr>
        <w:t xml:space="preserve"> at the Old Road Campus in </w:t>
      </w:r>
      <w:proofErr w:type="spellStart"/>
      <w:r w:rsidRPr="00B35376">
        <w:rPr>
          <w:rFonts w:ascii="Calibri" w:eastAsia="Calibri" w:hAnsi="Calibri" w:cs="Calibri"/>
          <w:color w:val="000000"/>
          <w:sz w:val="22"/>
          <w:szCs w:val="22"/>
        </w:rPr>
        <w:t>Headington</w:t>
      </w:r>
      <w:proofErr w:type="spellEnd"/>
      <w:r w:rsidRPr="00B35376">
        <w:rPr>
          <w:rFonts w:ascii="Calibri" w:eastAsia="Calibri" w:hAnsi="Calibri" w:cs="Calibri"/>
          <w:color w:val="000000"/>
          <w:sz w:val="22"/>
          <w:szCs w:val="22"/>
        </w:rPr>
        <w:t xml:space="preserve"> in July 2013</w:t>
      </w:r>
      <w:r>
        <w:rPr>
          <w:rFonts w:ascii="Calibri" w:eastAsia="Calibri" w:hAnsi="Calibri" w:cs="Calibri"/>
          <w:color w:val="000000"/>
          <w:sz w:val="22"/>
          <w:szCs w:val="22"/>
        </w:rPr>
        <w:t xml:space="preserve">.  Planning permission has </w:t>
      </w:r>
      <w:r w:rsidR="001F7115">
        <w:rPr>
          <w:rFonts w:ascii="Calibri" w:eastAsia="Calibri" w:hAnsi="Calibri" w:cs="Calibri"/>
          <w:color w:val="000000"/>
          <w:sz w:val="22"/>
          <w:szCs w:val="22"/>
        </w:rPr>
        <w:t xml:space="preserve">since </w:t>
      </w:r>
      <w:r>
        <w:rPr>
          <w:rFonts w:ascii="Calibri" w:eastAsia="Calibri" w:hAnsi="Calibri" w:cs="Calibri"/>
          <w:color w:val="000000"/>
          <w:sz w:val="22"/>
          <w:szCs w:val="22"/>
        </w:rPr>
        <w:t>been granted</w:t>
      </w:r>
      <w:r w:rsidR="00846782">
        <w:rPr>
          <w:rFonts w:ascii="Calibri" w:eastAsia="Calibri" w:hAnsi="Calibri" w:cs="Calibri"/>
          <w:color w:val="000000"/>
          <w:sz w:val="22"/>
          <w:szCs w:val="22"/>
        </w:rPr>
        <w:t xml:space="preserve"> for the construction of the Big Data Institute medical research building, which was part of the reserved matters of the above outline permission. This development is on an existing University of Oxford site within the </w:t>
      </w:r>
      <w:proofErr w:type="spellStart"/>
      <w:r w:rsidR="00846782">
        <w:rPr>
          <w:rFonts w:ascii="Calibri" w:eastAsia="Calibri" w:hAnsi="Calibri" w:cs="Calibri"/>
          <w:color w:val="000000"/>
          <w:sz w:val="22"/>
          <w:szCs w:val="22"/>
        </w:rPr>
        <w:t>Headington</w:t>
      </w:r>
      <w:proofErr w:type="spellEnd"/>
      <w:r w:rsidR="00846782">
        <w:rPr>
          <w:rFonts w:ascii="Calibri" w:eastAsia="Calibri" w:hAnsi="Calibri" w:cs="Calibri"/>
          <w:color w:val="000000"/>
          <w:sz w:val="22"/>
          <w:szCs w:val="22"/>
        </w:rPr>
        <w:t xml:space="preserve"> and Marston area as envisaged in the Core Strategy.</w:t>
      </w:r>
    </w:p>
    <w:p w:rsidR="00100981" w:rsidRDefault="00100981" w:rsidP="00E7018D">
      <w:pPr>
        <w:pStyle w:val="ListParagraph"/>
        <w:ind w:left="360"/>
        <w:rPr>
          <w:rFonts w:ascii="Calibri" w:eastAsia="Calibri" w:hAnsi="Calibri" w:cs="Calibri"/>
          <w:color w:val="000000"/>
          <w:sz w:val="22"/>
          <w:szCs w:val="22"/>
        </w:rPr>
      </w:pPr>
    </w:p>
    <w:p w:rsidR="00100981" w:rsidRDefault="00100981" w:rsidP="00E7018D">
      <w:pPr>
        <w:pStyle w:val="ListParagraph"/>
        <w:ind w:left="360"/>
        <w:rPr>
          <w:rFonts w:ascii="Calibri" w:eastAsia="Calibri" w:hAnsi="Calibri" w:cs="Calibri"/>
          <w:color w:val="000000"/>
          <w:sz w:val="22"/>
          <w:szCs w:val="22"/>
        </w:rPr>
      </w:pPr>
    </w:p>
    <w:p w:rsidR="00100981" w:rsidRDefault="00100981" w:rsidP="00E7018D">
      <w:pPr>
        <w:pStyle w:val="ListParagraph"/>
        <w:ind w:left="360"/>
        <w:rPr>
          <w:rFonts w:ascii="Calibri" w:eastAsia="Calibri" w:hAnsi="Calibri" w:cs="Calibri"/>
          <w:color w:val="000000"/>
          <w:sz w:val="22"/>
          <w:szCs w:val="22"/>
        </w:rPr>
      </w:pPr>
    </w:p>
    <w:p w:rsidR="004D7B71" w:rsidRDefault="004D7B71" w:rsidP="00E7018D">
      <w:pPr>
        <w:pStyle w:val="ListParagraph"/>
        <w:ind w:left="360"/>
        <w:rPr>
          <w:rFonts w:ascii="Calibri" w:eastAsia="Calibri" w:hAnsi="Calibri" w:cs="Calibri"/>
          <w:color w:val="000000"/>
          <w:sz w:val="22"/>
          <w:szCs w:val="22"/>
        </w:rPr>
      </w:pPr>
    </w:p>
    <w:p w:rsidR="004D7B71" w:rsidRDefault="004D7B71" w:rsidP="00E7018D">
      <w:pPr>
        <w:pStyle w:val="ListParagraph"/>
        <w:ind w:left="360"/>
        <w:rPr>
          <w:rFonts w:ascii="Calibri" w:eastAsia="Calibri" w:hAnsi="Calibri" w:cs="Calibri"/>
          <w:color w:val="000000"/>
          <w:sz w:val="22"/>
          <w:szCs w:val="22"/>
        </w:rPr>
      </w:pPr>
    </w:p>
    <w:p w:rsidR="00100981" w:rsidRPr="00354A24" w:rsidRDefault="00100981" w:rsidP="00354A24">
      <w:pPr>
        <w:rPr>
          <w:rFonts w:ascii="Calibri" w:eastAsia="Calibri" w:hAnsi="Calibri" w:cs="Calibri"/>
          <w:color w:val="000000"/>
          <w:sz w:val="22"/>
          <w:szCs w:val="22"/>
        </w:rPr>
      </w:pPr>
    </w:p>
    <w:p w:rsidR="00100981" w:rsidRDefault="00100981" w:rsidP="00E7018D">
      <w:pPr>
        <w:pStyle w:val="ListParagraph"/>
        <w:ind w:left="360"/>
        <w:rPr>
          <w:rFonts w:ascii="Calibri" w:eastAsia="Calibri" w:hAnsi="Calibri" w:cs="Calibri"/>
          <w:color w:val="000000"/>
          <w:sz w:val="22"/>
          <w:szCs w:val="22"/>
        </w:rPr>
      </w:pPr>
    </w:p>
    <w:p w:rsidR="00100981" w:rsidRDefault="00100981" w:rsidP="00E7018D">
      <w:pPr>
        <w:pStyle w:val="ListParagraph"/>
        <w:ind w:left="360"/>
        <w:rPr>
          <w:rFonts w:ascii="Calibri" w:eastAsia="Calibri" w:hAnsi="Calibri" w:cs="Calibri"/>
          <w:color w:val="000000"/>
          <w:sz w:val="22"/>
          <w:szCs w:val="22"/>
        </w:rPr>
      </w:pPr>
    </w:p>
    <w:p w:rsidR="00C46D2D" w:rsidRDefault="00C46D2D" w:rsidP="00C46D2D">
      <w:pPr>
        <w:rPr>
          <w:rFonts w:ascii="Calibri" w:eastAsia="Calibri" w:hAnsi="Calibri" w:cs="Calibri"/>
          <w:color w:val="000000"/>
          <w:sz w:val="22"/>
          <w:szCs w:val="22"/>
        </w:rPr>
      </w:pPr>
    </w:p>
    <w:p w:rsidR="001F7115" w:rsidRPr="00C46D2D" w:rsidRDefault="001F7115" w:rsidP="00C46D2D">
      <w:pPr>
        <w:rPr>
          <w:rFonts w:ascii="Calibri" w:eastAsia="Calibri" w:hAnsi="Calibri" w:cs="Calibri"/>
          <w:color w:val="000000"/>
          <w:sz w:val="22"/>
          <w:szCs w:val="22"/>
        </w:rPr>
      </w:pPr>
    </w:p>
    <w:p w:rsidR="00100981" w:rsidRPr="00100981" w:rsidRDefault="00100981" w:rsidP="00100981">
      <w:pPr>
        <w:rPr>
          <w:rFonts w:ascii="Calibri" w:eastAsia="Calibri" w:hAnsi="Calibri" w:cs="Calibri"/>
          <w:color w:val="000000"/>
          <w:sz w:val="22"/>
          <w:szCs w:val="22"/>
        </w:rPr>
      </w:pPr>
    </w:p>
    <w:p w:rsidR="007A7D29" w:rsidRPr="00670AA8" w:rsidRDefault="00100981" w:rsidP="007A7D29">
      <w:pPr>
        <w:autoSpaceDE w:val="0"/>
        <w:autoSpaceDN w:val="0"/>
        <w:adjustRightInd w:val="0"/>
        <w:jc w:val="both"/>
        <w:rPr>
          <w:rFonts w:ascii="Calibri" w:eastAsia="Calibri" w:hAnsi="Calibri" w:cs="Calibri"/>
          <w:b/>
          <w:color w:val="244061" w:themeColor="accent1" w:themeShade="80"/>
        </w:rPr>
      </w:pPr>
      <w:r>
        <w:rPr>
          <w:rFonts w:ascii="Calibri" w:eastAsia="Calibri" w:hAnsi="Calibri" w:cs="Calibri"/>
          <w:b/>
          <w:noProof/>
          <w:color w:val="244061" w:themeColor="accent1" w:themeShade="80"/>
          <w:sz w:val="8"/>
          <w:szCs w:val="22"/>
          <w:lang w:eastAsia="en-GB"/>
        </w:rPr>
        <w:lastRenderedPageBreak/>
        <mc:AlternateContent>
          <mc:Choice Requires="wps">
            <w:drawing>
              <wp:anchor distT="0" distB="0" distL="114300" distR="114300" simplePos="0" relativeHeight="251671552" behindDoc="1" locked="0" layoutInCell="1" allowOverlap="1" wp14:anchorId="4321CED7" wp14:editId="0308F177">
                <wp:simplePos x="0" y="0"/>
                <wp:positionH relativeFrom="column">
                  <wp:posOffset>-57150</wp:posOffset>
                </wp:positionH>
                <wp:positionV relativeFrom="paragraph">
                  <wp:posOffset>-57150</wp:posOffset>
                </wp:positionV>
                <wp:extent cx="5857875" cy="1819275"/>
                <wp:effectExtent l="0" t="0" r="9525" b="9525"/>
                <wp:wrapNone/>
                <wp:docPr id="51" name="Rectangle 51"/>
                <wp:cNvGraphicFramePr/>
                <a:graphic xmlns:a="http://schemas.openxmlformats.org/drawingml/2006/main">
                  <a:graphicData uri="http://schemas.microsoft.com/office/word/2010/wordprocessingShape">
                    <wps:wsp>
                      <wps:cNvSpPr/>
                      <wps:spPr>
                        <a:xfrm>
                          <a:off x="0" y="0"/>
                          <a:ext cx="5857875" cy="181927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5pt;margin-top:-4.5pt;width:461.25pt;height:14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" fillcolor="#dbeef4" stroked="f" strokeweight="2pt"/>
            </w:pict>
          </mc:Fallback>
        </mc:AlternateContent>
      </w:r>
      <w:r w:rsidRPr="00AD73A3">
        <w:rPr>
          <w:rFonts w:ascii="Calibri" w:eastAsia="Calibri" w:hAnsi="Calibri" w:cs="Calibri"/>
          <w:b/>
          <w:noProof/>
          <w:color w:val="000000"/>
          <w:sz w:val="32"/>
          <w:szCs w:val="32"/>
          <w:lang w:eastAsia="en-GB"/>
        </w:rPr>
        <mc:AlternateContent>
          <mc:Choice Requires="wps">
            <w:drawing>
              <wp:anchor distT="0" distB="0" distL="114300" distR="114300" simplePos="0" relativeHeight="251781120" behindDoc="0" locked="0" layoutInCell="1" allowOverlap="1" wp14:anchorId="0924102A" wp14:editId="478CDC00">
                <wp:simplePos x="0" y="0"/>
                <wp:positionH relativeFrom="column">
                  <wp:posOffset>3442335</wp:posOffset>
                </wp:positionH>
                <wp:positionV relativeFrom="paragraph">
                  <wp:posOffset>-582295</wp:posOffset>
                </wp:positionV>
                <wp:extent cx="2427605" cy="352425"/>
                <wp:effectExtent l="0" t="0" r="0" b="9525"/>
                <wp:wrapNone/>
                <wp:docPr id="91" name="Text Box 91"/>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1" o:spid="_x0000_s1037" type="#_x0000_t202" style="position:absolute;left:0;text-align:left;margin-left:271.05pt;margin-top:-45.85pt;width:191.15pt;height:27.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" fillcolor="window" stroked="f" strokeweight=".5pt">
                <v:textbo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v:textbox>
              </v:shape>
            </w:pict>
          </mc:Fallback>
        </mc:AlternateContent>
      </w:r>
      <w:r w:rsidR="007A7D29">
        <w:rPr>
          <w:rFonts w:ascii="Calibri" w:eastAsia="Calibri" w:hAnsi="Calibri" w:cs="Calibri"/>
          <w:b/>
          <w:color w:val="244061" w:themeColor="accent1" w:themeShade="80"/>
        </w:rPr>
        <w:t>I</w:t>
      </w:r>
      <w:r w:rsidR="007A7D29" w:rsidRPr="00670AA8">
        <w:rPr>
          <w:rFonts w:ascii="Calibri" w:eastAsia="Calibri" w:hAnsi="Calibri" w:cs="Calibri"/>
          <w:b/>
          <w:color w:val="244061" w:themeColor="accent1" w:themeShade="80"/>
        </w:rPr>
        <w:t>ndica</w:t>
      </w:r>
      <w:r w:rsidR="007A7D29">
        <w:rPr>
          <w:rFonts w:ascii="Calibri" w:eastAsia="Calibri" w:hAnsi="Calibri" w:cs="Calibri"/>
          <w:b/>
          <w:color w:val="244061" w:themeColor="accent1" w:themeShade="80"/>
        </w:rPr>
        <w:t xml:space="preserve">tor 7: </w:t>
      </w:r>
      <w:r w:rsidR="00BA4393">
        <w:rPr>
          <w:rFonts w:ascii="Calibri" w:eastAsia="Calibri" w:hAnsi="Calibri" w:cs="Calibri"/>
          <w:b/>
          <w:color w:val="244061" w:themeColor="accent1" w:themeShade="80"/>
        </w:rPr>
        <w:t xml:space="preserve">LOCATION OF </w:t>
      </w:r>
      <w:r w:rsidR="007A7D29">
        <w:rPr>
          <w:rFonts w:ascii="Calibri" w:eastAsia="Calibri" w:hAnsi="Calibri" w:cs="Calibri"/>
          <w:b/>
          <w:color w:val="244061" w:themeColor="accent1" w:themeShade="80"/>
        </w:rPr>
        <w:t xml:space="preserve">NEW </w:t>
      </w:r>
      <w:r w:rsidR="00BA4393">
        <w:rPr>
          <w:rFonts w:ascii="Calibri" w:eastAsia="Calibri" w:hAnsi="Calibri" w:cs="Calibri"/>
          <w:b/>
          <w:color w:val="244061" w:themeColor="accent1" w:themeShade="80"/>
        </w:rPr>
        <w:t>RETAIL</w:t>
      </w:r>
      <w:r w:rsidR="007A7D29">
        <w:rPr>
          <w:rFonts w:ascii="Calibri" w:eastAsia="Calibri" w:hAnsi="Calibri" w:cs="Calibri"/>
          <w:b/>
          <w:color w:val="244061" w:themeColor="accent1" w:themeShade="80"/>
        </w:rPr>
        <w:t xml:space="preserve"> DEVELOPMENT</w:t>
      </w:r>
    </w:p>
    <w:p w:rsidR="007A7D29" w:rsidRPr="00670AA8" w:rsidRDefault="007A7D29" w:rsidP="007A7D29">
      <w:pPr>
        <w:autoSpaceDE w:val="0"/>
        <w:autoSpaceDN w:val="0"/>
        <w:adjustRightInd w:val="0"/>
        <w:jc w:val="both"/>
        <w:rPr>
          <w:rFonts w:ascii="Calibri" w:eastAsia="Calibri" w:hAnsi="Calibri" w:cs="Calibri"/>
          <w:b/>
          <w:color w:val="244061" w:themeColor="accent1" w:themeShade="80"/>
          <w:sz w:val="10"/>
          <w:szCs w:val="22"/>
        </w:rPr>
      </w:pPr>
    </w:p>
    <w:p w:rsidR="00ED365D" w:rsidRDefault="007A7D29" w:rsidP="007A7D29">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100% of new </w:t>
      </w:r>
      <w:r w:rsidR="00ED365D">
        <w:rPr>
          <w:rFonts w:ascii="Calibri" w:eastAsia="Calibri" w:hAnsi="Calibri" w:cs="Calibri"/>
          <w:b/>
          <w:color w:val="244061" w:themeColor="accent1" w:themeShade="80"/>
          <w:sz w:val="22"/>
          <w:szCs w:val="22"/>
        </w:rPr>
        <w:t xml:space="preserve">A1 </w:t>
      </w:r>
      <w:r>
        <w:rPr>
          <w:rFonts w:ascii="Calibri" w:eastAsia="Calibri" w:hAnsi="Calibri" w:cs="Calibri"/>
          <w:b/>
          <w:color w:val="244061" w:themeColor="accent1" w:themeShade="80"/>
          <w:sz w:val="22"/>
          <w:szCs w:val="22"/>
        </w:rPr>
        <w:t xml:space="preserve">retail development to be within the six areas </w:t>
      </w:r>
      <w:r w:rsidR="008B20EB">
        <w:rPr>
          <w:rFonts w:ascii="Calibri" w:eastAsia="Calibri" w:hAnsi="Calibri" w:cs="Calibri"/>
          <w:b/>
          <w:color w:val="244061" w:themeColor="accent1" w:themeShade="80"/>
          <w:sz w:val="22"/>
          <w:szCs w:val="22"/>
        </w:rPr>
        <w:t>of Oxford’s retail</w:t>
      </w:r>
      <w:r>
        <w:rPr>
          <w:rFonts w:ascii="Calibri" w:eastAsia="Calibri" w:hAnsi="Calibri" w:cs="Calibri"/>
          <w:b/>
          <w:color w:val="244061" w:themeColor="accent1" w:themeShade="80"/>
          <w:sz w:val="22"/>
          <w:szCs w:val="22"/>
        </w:rPr>
        <w:t xml:space="preserve"> hierarchy </w:t>
      </w:r>
    </w:p>
    <w:p w:rsidR="007A7D29" w:rsidRDefault="00ED365D" w:rsidP="007A7D29">
      <w:pPr>
        <w:autoSpaceDE w:val="0"/>
        <w:autoSpaceDN w:val="0"/>
        <w:adjustRightInd w:val="0"/>
        <w:jc w:val="both"/>
        <w:rPr>
          <w:rFonts w:ascii="Calibri" w:eastAsia="Calibri" w:hAnsi="Calibri" w:cs="Calibri"/>
          <w:b/>
          <w:color w:val="244061" w:themeColor="accent1" w:themeShade="80"/>
          <w:sz w:val="22"/>
          <w:szCs w:val="22"/>
        </w:rPr>
      </w:pPr>
      <w:r w:rsidRPr="00ED365D">
        <w:rPr>
          <w:rFonts w:ascii="Calibri" w:eastAsia="Calibri" w:hAnsi="Calibri" w:cs="Calibri"/>
          <w:color w:val="244061" w:themeColor="accent1" w:themeShade="80"/>
          <w:sz w:val="20"/>
          <w:szCs w:val="22"/>
        </w:rPr>
        <w:t xml:space="preserve"> (Oxford Core Strategy</w:t>
      </w:r>
      <w:r>
        <w:rPr>
          <w:rFonts w:ascii="Calibri" w:eastAsia="Calibri" w:hAnsi="Calibri" w:cs="Calibri"/>
          <w:color w:val="244061" w:themeColor="accent1" w:themeShade="80"/>
          <w:sz w:val="20"/>
          <w:szCs w:val="22"/>
        </w:rPr>
        <w:t xml:space="preserve"> Policy CS31</w:t>
      </w:r>
      <w:r w:rsidRPr="00ED365D">
        <w:rPr>
          <w:rFonts w:ascii="Calibri" w:eastAsia="Calibri" w:hAnsi="Calibri" w:cs="Calibri"/>
          <w:color w:val="244061" w:themeColor="accent1" w:themeShade="80"/>
          <w:sz w:val="20"/>
          <w:szCs w:val="22"/>
        </w:rPr>
        <w:t>)</w:t>
      </w:r>
    </w:p>
    <w:p w:rsidR="007A7D29" w:rsidRDefault="007A7D29" w:rsidP="007A7D29">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7A7D29" w:rsidTr="00682A91">
        <w:trPr>
          <w:trHeight w:val="218"/>
        </w:trPr>
        <w:tc>
          <w:tcPr>
            <w:tcW w:w="5420" w:type="dxa"/>
          </w:tcPr>
          <w:p w:rsidR="007A7D29" w:rsidRPr="00742A00" w:rsidRDefault="007A7D29"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7A7D29" w:rsidRDefault="007A7D29"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7A7D29" w:rsidTr="00682A91">
        <w:tc>
          <w:tcPr>
            <w:tcW w:w="5420" w:type="dxa"/>
            <w:vMerge w:val="restart"/>
          </w:tcPr>
          <w:p w:rsidR="007A7D29" w:rsidRPr="00E523A6" w:rsidRDefault="007A7D29" w:rsidP="00682A91">
            <w:pPr>
              <w:autoSpaceDE w:val="0"/>
              <w:autoSpaceDN w:val="0"/>
              <w:adjustRightInd w:val="0"/>
              <w:jc w:val="center"/>
              <w:rPr>
                <w:rFonts w:ascii="Calibri" w:eastAsia="Calibri" w:hAnsi="Calibri" w:cs="Calibri"/>
                <w:b/>
                <w:color w:val="244061" w:themeColor="accent1" w:themeShade="80"/>
                <w:sz w:val="8"/>
                <w:szCs w:val="8"/>
              </w:rPr>
            </w:pPr>
          </w:p>
          <w:p w:rsidR="007A7D29" w:rsidRDefault="007A7D29" w:rsidP="00682A91">
            <w:pPr>
              <w:autoSpaceDE w:val="0"/>
              <w:autoSpaceDN w:val="0"/>
              <w:adjustRightInd w:val="0"/>
              <w:jc w:val="center"/>
              <w:rPr>
                <w:rFonts w:ascii="Calibri" w:eastAsia="Calibri" w:hAnsi="Calibri" w:cs="Calibri"/>
                <w:b/>
                <w:color w:val="244061" w:themeColor="accent1" w:themeShade="80"/>
                <w:sz w:val="12"/>
                <w:szCs w:val="12"/>
              </w:rPr>
            </w:pPr>
          </w:p>
          <w:p w:rsidR="00C62FE8" w:rsidRPr="00742A00" w:rsidRDefault="001C455A" w:rsidP="00682A91">
            <w:pPr>
              <w:autoSpaceDE w:val="0"/>
              <w:autoSpaceDN w:val="0"/>
              <w:adjustRightInd w:val="0"/>
              <w:jc w:val="center"/>
              <w:rPr>
                <w:rFonts w:ascii="Calibri" w:eastAsia="Calibri" w:hAnsi="Calibri" w:cs="Calibri"/>
                <w:b/>
                <w:color w:val="244061" w:themeColor="accent1" w:themeShade="80"/>
                <w:sz w:val="12"/>
                <w:szCs w:val="12"/>
              </w:rPr>
            </w:pPr>
            <w:r>
              <w:rPr>
                <w:b/>
                <w:noProof/>
                <w:sz w:val="32"/>
                <w:szCs w:val="32"/>
                <w:lang w:eastAsia="en-GB"/>
              </w:rPr>
              <w:drawing>
                <wp:inline distT="0" distB="0" distL="0" distR="0" wp14:anchorId="01E0B413" wp14:editId="2468FD6B">
                  <wp:extent cx="1619250" cy="504996"/>
                  <wp:effectExtent l="0" t="0" r="0" b="9525"/>
                  <wp:docPr id="225" name="Picture 225"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7A7D29" w:rsidRDefault="007A7D29"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7A7D29" w:rsidRDefault="007A7D29"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6ACEB468" wp14:editId="16EBF604">
                  <wp:extent cx="1085850" cy="338644"/>
                  <wp:effectExtent l="0" t="0" r="0" b="4445"/>
                  <wp:docPr id="49" name="Picture 49"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7A7D29" w:rsidRPr="00E523A6" w:rsidRDefault="007A7D29" w:rsidP="00682A91">
            <w:pPr>
              <w:autoSpaceDE w:val="0"/>
              <w:autoSpaceDN w:val="0"/>
              <w:adjustRightInd w:val="0"/>
              <w:jc w:val="center"/>
              <w:rPr>
                <w:rFonts w:ascii="Calibri" w:eastAsia="Calibri" w:hAnsi="Calibri" w:cs="Calibri"/>
                <w:b/>
                <w:color w:val="244061" w:themeColor="accent1" w:themeShade="80"/>
                <w:sz w:val="8"/>
                <w:szCs w:val="8"/>
              </w:rPr>
            </w:pPr>
          </w:p>
        </w:tc>
      </w:tr>
      <w:tr w:rsidR="007A7D29" w:rsidTr="00682A91">
        <w:tc>
          <w:tcPr>
            <w:tcW w:w="5420" w:type="dxa"/>
            <w:vMerge/>
          </w:tcPr>
          <w:p w:rsidR="007A7D29" w:rsidRDefault="007A7D29"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7A7D29" w:rsidRDefault="007A7D29"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7A7D29" w:rsidRDefault="007A7D29"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7549B112" wp14:editId="271AF388">
                  <wp:extent cx="1085850" cy="338644"/>
                  <wp:effectExtent l="0" t="0" r="0" b="4445"/>
                  <wp:docPr id="50" name="Picture 50"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BE2B37" w:rsidRDefault="00BE2B37" w:rsidP="002669E1">
      <w:pPr>
        <w:rPr>
          <w:rFonts w:ascii="Calibri" w:eastAsia="Calibri" w:hAnsi="Calibri" w:cs="Calibri"/>
          <w:color w:val="000000"/>
          <w:sz w:val="22"/>
          <w:szCs w:val="22"/>
        </w:rPr>
      </w:pPr>
    </w:p>
    <w:p w:rsidR="00D71A5C" w:rsidRPr="000C0ABC" w:rsidRDefault="00D71A5C"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Policy CS31 of the Core Strategy sets out Oxford’s retail hierarchy. </w:t>
      </w:r>
      <w:r w:rsidR="00E82424">
        <w:rPr>
          <w:rFonts w:ascii="Calibri" w:eastAsia="Calibri" w:hAnsi="Calibri" w:cs="Calibri"/>
          <w:color w:val="000000"/>
          <w:sz w:val="22"/>
          <w:szCs w:val="22"/>
        </w:rPr>
        <w:t>It states that a sequential test should be</w:t>
      </w:r>
      <w:r w:rsidR="000C0ABC">
        <w:rPr>
          <w:rFonts w:ascii="Calibri" w:eastAsia="Calibri" w:hAnsi="Calibri" w:cs="Calibri"/>
          <w:color w:val="000000"/>
          <w:sz w:val="22"/>
          <w:szCs w:val="22"/>
        </w:rPr>
        <w:t xml:space="preserve"> applied when assessing applications for new retail development.</w:t>
      </w:r>
    </w:p>
    <w:tbl>
      <w:tblPr>
        <w:tblStyle w:val="TableGrid"/>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1526"/>
        <w:gridCol w:w="1701"/>
        <w:gridCol w:w="3260"/>
        <w:gridCol w:w="2755"/>
      </w:tblGrid>
      <w:tr w:rsidR="00DF6592" w:rsidTr="00D71A5C">
        <w:tc>
          <w:tcPr>
            <w:tcW w:w="1526" w:type="dxa"/>
            <w:shd w:val="clear" w:color="auto" w:fill="DBE5F1" w:themeFill="accent1" w:themeFillTint="33"/>
          </w:tcPr>
          <w:p w:rsidR="00DF6592" w:rsidRPr="00BA4393" w:rsidRDefault="00DF6592" w:rsidP="00BA4393">
            <w:pPr>
              <w:jc w:val="center"/>
              <w:rPr>
                <w:rFonts w:asciiTheme="minorHAnsi" w:hAnsiTheme="minorHAnsi" w:cstheme="minorHAnsi"/>
                <w:b/>
                <w:color w:val="404040" w:themeColor="text1" w:themeTint="BF"/>
                <w:sz w:val="20"/>
              </w:rPr>
            </w:pPr>
            <w:r w:rsidRPr="00BA4393">
              <w:rPr>
                <w:rFonts w:asciiTheme="minorHAnsi" w:hAnsiTheme="minorHAnsi" w:cstheme="minorHAnsi"/>
                <w:b/>
                <w:color w:val="404040" w:themeColor="text1" w:themeTint="BF"/>
                <w:sz w:val="20"/>
              </w:rPr>
              <w:t xml:space="preserve">Application </w:t>
            </w:r>
            <w:r>
              <w:rPr>
                <w:rFonts w:asciiTheme="minorHAnsi" w:hAnsiTheme="minorHAnsi" w:cstheme="minorHAnsi"/>
                <w:b/>
                <w:color w:val="404040" w:themeColor="text1" w:themeTint="BF"/>
                <w:sz w:val="20"/>
              </w:rPr>
              <w:t>Reference</w:t>
            </w:r>
          </w:p>
        </w:tc>
        <w:tc>
          <w:tcPr>
            <w:tcW w:w="1701" w:type="dxa"/>
            <w:shd w:val="clear" w:color="auto" w:fill="DBE5F1" w:themeFill="accent1" w:themeFillTint="33"/>
          </w:tcPr>
          <w:p w:rsidR="00DF6592" w:rsidRPr="00BA4393" w:rsidRDefault="00DF6592" w:rsidP="00BA4393">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Site</w:t>
            </w:r>
          </w:p>
        </w:tc>
        <w:tc>
          <w:tcPr>
            <w:tcW w:w="3260" w:type="dxa"/>
            <w:shd w:val="clear" w:color="auto" w:fill="DBE5F1" w:themeFill="accent1" w:themeFillTint="33"/>
          </w:tcPr>
          <w:p w:rsidR="00DF6592" w:rsidRPr="00BA4393" w:rsidRDefault="00DF6592" w:rsidP="00BA4393">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Description of Development</w:t>
            </w:r>
          </w:p>
        </w:tc>
        <w:tc>
          <w:tcPr>
            <w:tcW w:w="2755" w:type="dxa"/>
            <w:shd w:val="clear" w:color="auto" w:fill="DBE5F1" w:themeFill="accent1" w:themeFillTint="33"/>
          </w:tcPr>
          <w:p w:rsidR="00DF6592" w:rsidRPr="00BA4393" w:rsidRDefault="00DF6592" w:rsidP="00BA4393">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Within the six areas of Oxford’s retail hierarchy?</w:t>
            </w:r>
          </w:p>
        </w:tc>
      </w:tr>
      <w:tr w:rsidR="00220267" w:rsidRPr="00D83A1C" w:rsidTr="00D71A5C">
        <w:tc>
          <w:tcPr>
            <w:tcW w:w="1526" w:type="dxa"/>
            <w:shd w:val="clear" w:color="auto" w:fill="FFFFFF" w:themeFill="background1"/>
          </w:tcPr>
          <w:p w:rsidR="00220267" w:rsidRPr="00700B74" w:rsidRDefault="00220267" w:rsidP="00534B7B">
            <w:pPr>
              <w:jc w:val="center"/>
              <w:rPr>
                <w:rFonts w:asciiTheme="minorHAnsi" w:hAnsiTheme="minorHAnsi" w:cstheme="minorHAnsi"/>
                <w:color w:val="404040" w:themeColor="text1" w:themeTint="BF"/>
                <w:sz w:val="20"/>
              </w:rPr>
            </w:pPr>
            <w:r w:rsidRPr="00220267">
              <w:rPr>
                <w:rFonts w:asciiTheme="minorHAnsi" w:hAnsiTheme="minorHAnsi" w:cstheme="minorHAnsi"/>
                <w:color w:val="404040" w:themeColor="text1" w:themeTint="BF"/>
                <w:sz w:val="20"/>
              </w:rPr>
              <w:t>13/02557/OUT</w:t>
            </w:r>
            <w:r w:rsidR="00B63011">
              <w:rPr>
                <w:rFonts w:asciiTheme="minorHAnsi" w:hAnsiTheme="minorHAnsi" w:cstheme="minorHAnsi"/>
                <w:color w:val="404040" w:themeColor="text1" w:themeTint="BF"/>
                <w:sz w:val="20"/>
              </w:rPr>
              <w:t xml:space="preserve"> </w:t>
            </w:r>
            <w:r w:rsidR="00B63011" w:rsidRPr="00B63011">
              <w:rPr>
                <w:rFonts w:asciiTheme="minorHAnsi" w:hAnsiTheme="minorHAnsi" w:cstheme="minorHAnsi"/>
                <w:color w:val="404040" w:themeColor="text1" w:themeTint="BF"/>
                <w:sz w:val="18"/>
              </w:rPr>
              <w:t xml:space="preserve">(Committee resolved </w:t>
            </w:r>
            <w:r w:rsidR="00B63011">
              <w:rPr>
                <w:rFonts w:asciiTheme="minorHAnsi" w:hAnsiTheme="minorHAnsi" w:cstheme="minorHAnsi"/>
                <w:color w:val="404040" w:themeColor="text1" w:themeTint="BF"/>
                <w:sz w:val="18"/>
              </w:rPr>
              <w:t>to grant permission subject to the completion of a</w:t>
            </w:r>
            <w:r w:rsidR="00B63011" w:rsidRPr="00B63011">
              <w:rPr>
                <w:rFonts w:asciiTheme="minorHAnsi" w:hAnsiTheme="minorHAnsi" w:cstheme="minorHAnsi"/>
                <w:color w:val="404040" w:themeColor="text1" w:themeTint="BF"/>
                <w:sz w:val="18"/>
              </w:rPr>
              <w:t xml:space="preserve"> legal agreement)</w:t>
            </w:r>
          </w:p>
        </w:tc>
        <w:tc>
          <w:tcPr>
            <w:tcW w:w="1701" w:type="dxa"/>
            <w:shd w:val="clear" w:color="auto" w:fill="FFFFFF" w:themeFill="background1"/>
          </w:tcPr>
          <w:p w:rsidR="00220267" w:rsidRDefault="00220267" w:rsidP="00534B7B">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Westgate</w:t>
            </w:r>
          </w:p>
        </w:tc>
        <w:tc>
          <w:tcPr>
            <w:tcW w:w="3260" w:type="dxa"/>
            <w:shd w:val="clear" w:color="auto" w:fill="FFFFFF" w:themeFill="background1"/>
          </w:tcPr>
          <w:p w:rsidR="00220267" w:rsidRDefault="00A11A6A" w:rsidP="0015630D">
            <w:pP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Outline application for r</w:t>
            </w:r>
            <w:r w:rsidRPr="00A11A6A">
              <w:rPr>
                <w:rFonts w:asciiTheme="minorHAnsi" w:hAnsiTheme="minorHAnsi" w:cstheme="minorHAnsi"/>
                <w:color w:val="404040" w:themeColor="text1" w:themeTint="BF"/>
                <w:sz w:val="20"/>
              </w:rPr>
              <w:t>etail-led</w:t>
            </w:r>
            <w:r>
              <w:rPr>
                <w:rFonts w:asciiTheme="minorHAnsi" w:hAnsiTheme="minorHAnsi" w:cstheme="minorHAnsi"/>
                <w:color w:val="404040" w:themeColor="text1" w:themeTint="BF"/>
                <w:sz w:val="20"/>
              </w:rPr>
              <w:t xml:space="preserve"> mixed use development </w:t>
            </w:r>
            <w:r w:rsidRPr="00A11A6A">
              <w:rPr>
                <w:rFonts w:asciiTheme="minorHAnsi" w:hAnsiTheme="minorHAnsi" w:cstheme="minorHAnsi"/>
                <w:color w:val="404040" w:themeColor="text1" w:themeTint="BF"/>
                <w:sz w:val="20"/>
              </w:rPr>
              <w:t xml:space="preserve">providing A1 (retail), A2 (finance and professional services) and/or A3 (restaurants and cafes) and/or A4 (public house, etc.) and/or A5 (hot food takeaways) uses, C3 </w:t>
            </w:r>
            <w:r w:rsidR="0015630D">
              <w:rPr>
                <w:rFonts w:asciiTheme="minorHAnsi" w:hAnsiTheme="minorHAnsi" w:cstheme="minorHAnsi"/>
                <w:color w:val="404040" w:themeColor="text1" w:themeTint="BF"/>
                <w:sz w:val="20"/>
              </w:rPr>
              <w:t>(residential)</w:t>
            </w:r>
            <w:r w:rsidRPr="00A11A6A">
              <w:rPr>
                <w:rFonts w:asciiTheme="minorHAnsi" w:hAnsiTheme="minorHAnsi" w:cstheme="minorHAnsi"/>
                <w:color w:val="404040" w:themeColor="text1" w:themeTint="BF"/>
                <w:sz w:val="20"/>
              </w:rPr>
              <w:t xml:space="preserve"> and D2 (assembly and leisure) uses</w:t>
            </w:r>
            <w:r>
              <w:rPr>
                <w:rFonts w:asciiTheme="minorHAnsi" w:hAnsiTheme="minorHAnsi" w:cstheme="minorHAnsi"/>
                <w:color w:val="404040" w:themeColor="text1" w:themeTint="BF"/>
                <w:sz w:val="20"/>
              </w:rPr>
              <w:t>.</w:t>
            </w:r>
          </w:p>
        </w:tc>
        <w:tc>
          <w:tcPr>
            <w:tcW w:w="2755" w:type="dxa"/>
            <w:shd w:val="clear" w:color="auto" w:fill="FFFFFF" w:themeFill="background1"/>
          </w:tcPr>
          <w:p w:rsidR="00A11A6A" w:rsidRDefault="00A11A6A" w:rsidP="00A11A6A">
            <w:pP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 xml:space="preserve">Yes – </w:t>
            </w:r>
            <w:r w:rsidR="00E82424">
              <w:rPr>
                <w:rFonts w:asciiTheme="minorHAnsi" w:hAnsiTheme="minorHAnsi" w:cstheme="minorHAnsi"/>
                <w:color w:val="404040" w:themeColor="text1" w:themeTint="BF"/>
                <w:sz w:val="20"/>
              </w:rPr>
              <w:t>C</w:t>
            </w:r>
            <w:r w:rsidR="003161C9">
              <w:rPr>
                <w:rFonts w:asciiTheme="minorHAnsi" w:hAnsiTheme="minorHAnsi" w:cstheme="minorHAnsi"/>
                <w:color w:val="404040" w:themeColor="text1" w:themeTint="BF"/>
                <w:sz w:val="20"/>
              </w:rPr>
              <w:t>ity centre</w:t>
            </w:r>
            <w:r w:rsidR="00B93554">
              <w:rPr>
                <w:rFonts w:asciiTheme="minorHAnsi" w:hAnsiTheme="minorHAnsi" w:cstheme="minorHAnsi"/>
                <w:color w:val="404040" w:themeColor="text1" w:themeTint="BF"/>
                <w:sz w:val="20"/>
              </w:rPr>
              <w:t xml:space="preserve"> </w:t>
            </w:r>
            <w:r w:rsidR="0015630D">
              <w:rPr>
                <w:rFonts w:asciiTheme="minorHAnsi" w:hAnsiTheme="minorHAnsi" w:cstheme="minorHAnsi"/>
                <w:color w:val="404040" w:themeColor="text1" w:themeTint="BF"/>
                <w:sz w:val="20"/>
              </w:rPr>
              <w:t>(primary shopping area) and</w:t>
            </w:r>
            <w:r w:rsidR="00C47781">
              <w:rPr>
                <w:rFonts w:asciiTheme="minorHAnsi" w:hAnsiTheme="minorHAnsi" w:cstheme="minorHAnsi"/>
                <w:color w:val="404040" w:themeColor="text1" w:themeTint="BF"/>
                <w:sz w:val="20"/>
              </w:rPr>
              <w:t xml:space="preserve"> edge-of-</w:t>
            </w:r>
            <w:r w:rsidR="00B93554">
              <w:rPr>
                <w:rFonts w:asciiTheme="minorHAnsi" w:hAnsiTheme="minorHAnsi" w:cstheme="minorHAnsi"/>
                <w:color w:val="404040" w:themeColor="text1" w:themeTint="BF"/>
                <w:sz w:val="20"/>
              </w:rPr>
              <w:t>city centre</w:t>
            </w:r>
            <w:r w:rsidR="00E82424">
              <w:rPr>
                <w:rFonts w:asciiTheme="minorHAnsi" w:hAnsiTheme="minorHAnsi" w:cstheme="minorHAnsi"/>
                <w:color w:val="404040" w:themeColor="text1" w:themeTint="BF"/>
                <w:sz w:val="20"/>
              </w:rPr>
              <w:t>.</w:t>
            </w:r>
          </w:p>
          <w:p w:rsidR="00220267" w:rsidRDefault="00220267" w:rsidP="00A11A6A">
            <w:pPr>
              <w:rPr>
                <w:rFonts w:asciiTheme="minorHAnsi" w:hAnsiTheme="minorHAnsi" w:cstheme="minorHAnsi"/>
                <w:color w:val="404040" w:themeColor="text1" w:themeTint="BF"/>
                <w:sz w:val="20"/>
              </w:rPr>
            </w:pPr>
          </w:p>
        </w:tc>
      </w:tr>
      <w:tr w:rsidR="00DF6592" w:rsidRPr="00D83A1C" w:rsidTr="00D71A5C">
        <w:tc>
          <w:tcPr>
            <w:tcW w:w="1526" w:type="dxa"/>
            <w:shd w:val="clear" w:color="auto" w:fill="FFFFFF" w:themeFill="background1"/>
          </w:tcPr>
          <w:p w:rsidR="00DF6592" w:rsidRPr="00D71A5C" w:rsidRDefault="00700B74" w:rsidP="00534B7B">
            <w:pPr>
              <w:jc w:val="center"/>
              <w:rPr>
                <w:rFonts w:asciiTheme="minorHAnsi" w:hAnsiTheme="minorHAnsi" w:cstheme="minorHAnsi"/>
                <w:color w:val="404040" w:themeColor="text1" w:themeTint="BF"/>
                <w:sz w:val="20"/>
              </w:rPr>
            </w:pPr>
            <w:r w:rsidRPr="00700B74">
              <w:rPr>
                <w:rFonts w:asciiTheme="minorHAnsi" w:hAnsiTheme="minorHAnsi" w:cstheme="minorHAnsi"/>
                <w:color w:val="404040" w:themeColor="text1" w:themeTint="BF"/>
                <w:sz w:val="20"/>
              </w:rPr>
              <w:t>13/01383/OUT</w:t>
            </w:r>
          </w:p>
        </w:tc>
        <w:tc>
          <w:tcPr>
            <w:tcW w:w="1701" w:type="dxa"/>
            <w:shd w:val="clear" w:color="auto" w:fill="FFFFFF" w:themeFill="background1"/>
          </w:tcPr>
          <w:p w:rsidR="00DF6592" w:rsidRPr="00D71A5C" w:rsidRDefault="00700B74" w:rsidP="00534B7B">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Barton</w:t>
            </w:r>
          </w:p>
        </w:tc>
        <w:tc>
          <w:tcPr>
            <w:tcW w:w="3260" w:type="dxa"/>
            <w:shd w:val="clear" w:color="auto" w:fill="FFFFFF" w:themeFill="background1"/>
          </w:tcPr>
          <w:p w:rsidR="00DF6592" w:rsidRPr="00D71A5C" w:rsidRDefault="00700B74" w:rsidP="0015630D">
            <w:pPr>
              <w:rPr>
                <w:rFonts w:asciiTheme="minorHAnsi" w:hAnsiTheme="minorHAnsi" w:cstheme="minorHAnsi"/>
                <w:color w:val="404040" w:themeColor="text1" w:themeTint="BF"/>
                <w:sz w:val="20"/>
              </w:rPr>
            </w:pPr>
            <w:r w:rsidRPr="00700B74">
              <w:rPr>
                <w:rFonts w:asciiTheme="minorHAnsi" w:hAnsiTheme="minorHAnsi" w:cstheme="minorHAnsi"/>
                <w:color w:val="404040" w:themeColor="text1" w:themeTint="BF"/>
                <w:sz w:val="20"/>
              </w:rPr>
              <w:t xml:space="preserve">Outline application </w:t>
            </w:r>
            <w:r>
              <w:rPr>
                <w:rFonts w:asciiTheme="minorHAnsi" w:hAnsiTheme="minorHAnsi" w:cstheme="minorHAnsi"/>
                <w:color w:val="404040" w:themeColor="text1" w:themeTint="BF"/>
                <w:sz w:val="20"/>
              </w:rPr>
              <w:t xml:space="preserve">for </w:t>
            </w:r>
            <w:r w:rsidR="00EF4037">
              <w:rPr>
                <w:rFonts w:asciiTheme="minorHAnsi" w:hAnsiTheme="minorHAnsi" w:cstheme="minorHAnsi"/>
                <w:color w:val="404040" w:themeColor="text1" w:themeTint="BF"/>
                <w:sz w:val="20"/>
              </w:rPr>
              <w:t>residential-</w:t>
            </w:r>
            <w:r w:rsidR="002B629B">
              <w:rPr>
                <w:rFonts w:asciiTheme="minorHAnsi" w:hAnsiTheme="minorHAnsi" w:cstheme="minorHAnsi"/>
                <w:color w:val="404040" w:themeColor="text1" w:themeTint="BF"/>
                <w:sz w:val="20"/>
              </w:rPr>
              <w:t xml:space="preserve">led </w:t>
            </w:r>
            <w:r>
              <w:rPr>
                <w:rFonts w:asciiTheme="minorHAnsi" w:hAnsiTheme="minorHAnsi" w:cstheme="minorHAnsi"/>
                <w:color w:val="404040" w:themeColor="text1" w:themeTint="BF"/>
                <w:sz w:val="20"/>
              </w:rPr>
              <w:t>m</w:t>
            </w:r>
            <w:r w:rsidR="0015630D">
              <w:rPr>
                <w:rFonts w:asciiTheme="minorHAnsi" w:hAnsiTheme="minorHAnsi" w:cstheme="minorHAnsi"/>
                <w:color w:val="404040" w:themeColor="text1" w:themeTint="BF"/>
                <w:sz w:val="20"/>
              </w:rPr>
              <w:t>ixed used development including a maximum of 2,500</w:t>
            </w:r>
            <w:r w:rsidRPr="00700B74">
              <w:rPr>
                <w:rFonts w:asciiTheme="minorHAnsi" w:hAnsiTheme="minorHAnsi" w:cstheme="minorHAnsi"/>
                <w:color w:val="404040" w:themeColor="text1" w:themeTint="BF"/>
                <w:sz w:val="20"/>
              </w:rPr>
              <w:t>m</w:t>
            </w:r>
            <w:r w:rsidR="0015630D">
              <w:rPr>
                <w:rFonts w:asciiTheme="minorHAnsi" w:hAnsiTheme="minorHAnsi" w:cstheme="minorHAnsi"/>
                <w:color w:val="404040" w:themeColor="text1" w:themeTint="BF"/>
                <w:sz w:val="20"/>
                <w:vertAlign w:val="superscript"/>
              </w:rPr>
              <w:t>2</w:t>
            </w:r>
            <w:r w:rsidRPr="00700B74">
              <w:rPr>
                <w:rFonts w:asciiTheme="minorHAnsi" w:hAnsiTheme="minorHAnsi" w:cstheme="minorHAnsi"/>
                <w:color w:val="404040" w:themeColor="text1" w:themeTint="BF"/>
                <w:sz w:val="20"/>
              </w:rPr>
              <w:t xml:space="preserve"> </w:t>
            </w:r>
            <w:r w:rsidR="0015630D">
              <w:rPr>
                <w:rFonts w:asciiTheme="minorHAnsi" w:hAnsiTheme="minorHAnsi" w:cstheme="minorHAnsi"/>
                <w:color w:val="404040" w:themeColor="text1" w:themeTint="BF"/>
                <w:sz w:val="20"/>
              </w:rPr>
              <w:t>(</w:t>
            </w:r>
            <w:r w:rsidRPr="00700B74">
              <w:rPr>
                <w:rFonts w:asciiTheme="minorHAnsi" w:hAnsiTheme="minorHAnsi" w:cstheme="minorHAnsi"/>
                <w:color w:val="404040" w:themeColor="text1" w:themeTint="BF"/>
                <w:sz w:val="20"/>
              </w:rPr>
              <w:t>gross</w:t>
            </w:r>
            <w:r w:rsidR="0015630D">
              <w:rPr>
                <w:rFonts w:asciiTheme="minorHAnsi" w:hAnsiTheme="minorHAnsi" w:cstheme="minorHAnsi"/>
                <w:color w:val="404040" w:themeColor="text1" w:themeTint="BF"/>
                <w:sz w:val="20"/>
              </w:rPr>
              <w:t>)</w:t>
            </w:r>
            <w:r w:rsidRPr="00700B74">
              <w:rPr>
                <w:rFonts w:asciiTheme="minorHAnsi" w:hAnsiTheme="minorHAnsi" w:cstheme="minorHAnsi"/>
                <w:color w:val="404040" w:themeColor="text1" w:themeTint="BF"/>
                <w:sz w:val="20"/>
              </w:rPr>
              <w:t xml:space="preserve"> Class A1, A2, A3, A4 and A5 uses (with a maximum of 2,000</w:t>
            </w:r>
            <w:r w:rsidR="0015630D">
              <w:rPr>
                <w:rFonts w:asciiTheme="minorHAnsi" w:hAnsiTheme="minorHAnsi" w:cstheme="minorHAnsi"/>
                <w:color w:val="404040" w:themeColor="text1" w:themeTint="BF"/>
                <w:sz w:val="20"/>
              </w:rPr>
              <w:t>m</w:t>
            </w:r>
            <w:r w:rsidR="0015630D">
              <w:rPr>
                <w:rFonts w:asciiTheme="minorHAnsi" w:hAnsiTheme="minorHAnsi" w:cstheme="minorHAnsi"/>
                <w:color w:val="404040" w:themeColor="text1" w:themeTint="BF"/>
                <w:sz w:val="20"/>
                <w:vertAlign w:val="superscript"/>
              </w:rPr>
              <w:t>2</w:t>
            </w:r>
            <w:r w:rsidRPr="00700B74">
              <w:rPr>
                <w:rFonts w:asciiTheme="minorHAnsi" w:hAnsiTheme="minorHAnsi" w:cstheme="minorHAnsi"/>
                <w:color w:val="404040" w:themeColor="text1" w:themeTint="BF"/>
                <w:sz w:val="20"/>
              </w:rPr>
              <w:t xml:space="preserve"> </w:t>
            </w:r>
            <w:r w:rsidR="0015630D">
              <w:rPr>
                <w:rFonts w:asciiTheme="minorHAnsi" w:hAnsiTheme="minorHAnsi" w:cstheme="minorHAnsi"/>
                <w:color w:val="404040" w:themeColor="text1" w:themeTint="BF"/>
                <w:sz w:val="20"/>
              </w:rPr>
              <w:t>(</w:t>
            </w:r>
            <w:r w:rsidRPr="00700B74">
              <w:rPr>
                <w:rFonts w:asciiTheme="minorHAnsi" w:hAnsiTheme="minorHAnsi" w:cstheme="minorHAnsi"/>
                <w:color w:val="404040" w:themeColor="text1" w:themeTint="BF"/>
                <w:sz w:val="20"/>
              </w:rPr>
              <w:t>gross</w:t>
            </w:r>
            <w:r w:rsidR="0015630D">
              <w:rPr>
                <w:rFonts w:asciiTheme="minorHAnsi" w:hAnsiTheme="minorHAnsi" w:cstheme="minorHAnsi"/>
                <w:color w:val="404040" w:themeColor="text1" w:themeTint="BF"/>
                <w:sz w:val="20"/>
              </w:rPr>
              <w:t>)</w:t>
            </w:r>
            <w:r w:rsidRPr="00700B74">
              <w:rPr>
                <w:rFonts w:asciiTheme="minorHAnsi" w:hAnsiTheme="minorHAnsi" w:cstheme="minorHAnsi"/>
                <w:color w:val="404040" w:themeColor="text1" w:themeTint="BF"/>
                <w:sz w:val="20"/>
              </w:rPr>
              <w:t xml:space="preserve"> </w:t>
            </w:r>
            <w:proofErr w:type="spellStart"/>
            <w:r w:rsidRPr="00700B74">
              <w:rPr>
                <w:rFonts w:asciiTheme="minorHAnsi" w:hAnsiTheme="minorHAnsi" w:cstheme="minorHAnsi"/>
                <w:color w:val="404040" w:themeColor="text1" w:themeTint="BF"/>
                <w:sz w:val="20"/>
              </w:rPr>
              <w:t>f</w:t>
            </w:r>
            <w:r>
              <w:rPr>
                <w:rFonts w:asciiTheme="minorHAnsi" w:hAnsiTheme="minorHAnsi" w:cstheme="minorHAnsi"/>
                <w:color w:val="404040" w:themeColor="text1" w:themeTint="BF"/>
                <w:sz w:val="20"/>
              </w:rPr>
              <w:t>oodstore</w:t>
            </w:r>
            <w:proofErr w:type="spellEnd"/>
            <w:r>
              <w:rPr>
                <w:rFonts w:asciiTheme="minorHAnsi" w:hAnsiTheme="minorHAnsi" w:cstheme="minorHAnsi"/>
                <w:color w:val="404040" w:themeColor="text1" w:themeTint="BF"/>
                <w:sz w:val="20"/>
              </w:rPr>
              <w:t xml:space="preserve"> Class A1).</w:t>
            </w:r>
          </w:p>
        </w:tc>
        <w:tc>
          <w:tcPr>
            <w:tcW w:w="2755" w:type="dxa"/>
            <w:shd w:val="clear" w:color="auto" w:fill="FFFFFF" w:themeFill="background1"/>
          </w:tcPr>
          <w:p w:rsidR="00DF6592" w:rsidRPr="00700B74" w:rsidRDefault="00220267" w:rsidP="00534B7B">
            <w:pPr>
              <w:rPr>
                <w:rFonts w:asciiTheme="minorHAnsi" w:hAnsiTheme="minorHAnsi" w:cstheme="minorHAnsi"/>
                <w:color w:val="404040" w:themeColor="text1" w:themeTint="BF"/>
                <w:sz w:val="20"/>
                <w:highlight w:val="yellow"/>
              </w:rPr>
            </w:pPr>
            <w:r>
              <w:rPr>
                <w:rFonts w:asciiTheme="minorHAnsi" w:hAnsiTheme="minorHAnsi" w:cstheme="minorHAnsi"/>
                <w:color w:val="404040" w:themeColor="text1" w:themeTint="BF"/>
                <w:sz w:val="20"/>
              </w:rPr>
              <w:t xml:space="preserve">No - </w:t>
            </w:r>
            <w:r w:rsidR="00700B74" w:rsidRPr="00220267">
              <w:rPr>
                <w:rFonts w:asciiTheme="minorHAnsi" w:hAnsiTheme="minorHAnsi" w:cstheme="minorHAnsi"/>
                <w:color w:val="404040" w:themeColor="text1" w:themeTint="BF"/>
                <w:sz w:val="20"/>
              </w:rPr>
              <w:t>Creation of a new commercial centre</w:t>
            </w:r>
          </w:p>
        </w:tc>
      </w:tr>
    </w:tbl>
    <w:p w:rsidR="00BE2B37" w:rsidRPr="00BE2B37" w:rsidRDefault="00BE2B37" w:rsidP="00BE2B37">
      <w:pPr>
        <w:jc w:val="center"/>
        <w:rPr>
          <w:rFonts w:ascii="Calibri" w:eastAsia="Calibri" w:hAnsi="Calibri" w:cs="Calibri"/>
          <w:color w:val="000000"/>
          <w:sz w:val="6"/>
          <w:szCs w:val="6"/>
        </w:rPr>
      </w:pPr>
    </w:p>
    <w:p w:rsidR="00D71A5C" w:rsidRDefault="00BE2B37" w:rsidP="004326DC">
      <w:pPr>
        <w:jc w:val="center"/>
        <w:rPr>
          <w:b/>
          <w:sz w:val="22"/>
          <w:szCs w:val="20"/>
        </w:rPr>
      </w:pPr>
      <w:r w:rsidRPr="00100981">
        <w:rPr>
          <w:rFonts w:ascii="Calibri" w:eastAsia="Calibri" w:hAnsi="Calibri" w:cs="Calibri"/>
          <w:b/>
          <w:color w:val="000000"/>
          <w:sz w:val="20"/>
          <w:szCs w:val="18"/>
        </w:rPr>
        <w:t xml:space="preserve">Figure </w:t>
      </w:r>
      <w:r w:rsidR="00100981" w:rsidRPr="00100981">
        <w:rPr>
          <w:rFonts w:ascii="Calibri" w:eastAsia="Calibri" w:hAnsi="Calibri" w:cs="Calibri"/>
          <w:b/>
          <w:color w:val="000000"/>
          <w:sz w:val="20"/>
          <w:szCs w:val="18"/>
        </w:rPr>
        <w:t>6</w:t>
      </w:r>
      <w:r w:rsidR="00BA4393">
        <w:rPr>
          <w:rFonts w:ascii="Calibri" w:eastAsia="Calibri" w:hAnsi="Calibri" w:cs="Calibri"/>
          <w:b/>
          <w:color w:val="000000"/>
          <w:sz w:val="20"/>
          <w:szCs w:val="18"/>
        </w:rPr>
        <w:t xml:space="preserve">: </w:t>
      </w:r>
      <w:r w:rsidR="00BA4393">
        <w:rPr>
          <w:rFonts w:asciiTheme="minorHAnsi" w:hAnsiTheme="minorHAnsi" w:cstheme="minorHAnsi"/>
          <w:sz w:val="20"/>
          <w:szCs w:val="20"/>
        </w:rPr>
        <w:t>A1 (retail) developments</w:t>
      </w:r>
      <w:r w:rsidR="00534B7B">
        <w:rPr>
          <w:rFonts w:asciiTheme="minorHAnsi" w:hAnsiTheme="minorHAnsi" w:cstheme="minorHAnsi"/>
          <w:sz w:val="20"/>
          <w:szCs w:val="20"/>
        </w:rPr>
        <w:t xml:space="preserve"> granted planning permission</w:t>
      </w:r>
      <w:r w:rsidR="00D71A5C">
        <w:rPr>
          <w:rFonts w:asciiTheme="minorHAnsi" w:hAnsiTheme="minorHAnsi" w:cstheme="minorHAnsi"/>
          <w:sz w:val="20"/>
          <w:szCs w:val="20"/>
        </w:rPr>
        <w:t xml:space="preserve"> in</w:t>
      </w:r>
      <w:r w:rsidR="00BA4393">
        <w:rPr>
          <w:rFonts w:asciiTheme="minorHAnsi" w:hAnsiTheme="minorHAnsi" w:cstheme="minorHAnsi"/>
          <w:sz w:val="20"/>
          <w:szCs w:val="20"/>
        </w:rPr>
        <w:t xml:space="preserve"> 2013/14</w:t>
      </w:r>
    </w:p>
    <w:p w:rsidR="004326DC" w:rsidRPr="004326DC" w:rsidRDefault="004326DC" w:rsidP="004326DC">
      <w:pPr>
        <w:jc w:val="center"/>
        <w:rPr>
          <w:b/>
          <w:sz w:val="22"/>
          <w:szCs w:val="20"/>
        </w:rPr>
      </w:pPr>
    </w:p>
    <w:p w:rsidR="00D8302D" w:rsidRPr="00C47781" w:rsidRDefault="00BE2B37" w:rsidP="004335B5">
      <w:pPr>
        <w:numPr>
          <w:ilvl w:val="0"/>
          <w:numId w:val="8"/>
        </w:numPr>
        <w:spacing w:after="200" w:line="276" w:lineRule="auto"/>
        <w:jc w:val="both"/>
        <w:rPr>
          <w:rFonts w:ascii="Calibri" w:eastAsia="Calibri" w:hAnsi="Calibri" w:cs="Calibri"/>
          <w:color w:val="000000"/>
          <w:sz w:val="22"/>
          <w:szCs w:val="22"/>
        </w:rPr>
      </w:pPr>
      <w:r w:rsidRPr="00700B74">
        <w:rPr>
          <w:rFonts w:ascii="Calibri" w:eastAsia="Calibri" w:hAnsi="Calibri" w:cs="Calibri"/>
          <w:color w:val="000000"/>
          <w:sz w:val="22"/>
          <w:szCs w:val="22"/>
        </w:rPr>
        <w:t xml:space="preserve">Figure </w:t>
      </w:r>
      <w:r w:rsidR="00100981" w:rsidRPr="00700B74">
        <w:rPr>
          <w:rFonts w:ascii="Calibri" w:eastAsia="Calibri" w:hAnsi="Calibri" w:cs="Calibri"/>
          <w:color w:val="000000"/>
          <w:sz w:val="22"/>
          <w:szCs w:val="22"/>
        </w:rPr>
        <w:t>6</w:t>
      </w:r>
      <w:r w:rsidR="00700B74">
        <w:rPr>
          <w:rFonts w:ascii="Calibri" w:eastAsia="Calibri" w:hAnsi="Calibri" w:cs="Calibri"/>
          <w:color w:val="000000"/>
          <w:sz w:val="22"/>
          <w:szCs w:val="22"/>
        </w:rPr>
        <w:t xml:space="preserve"> shows planning permissions granted for new</w:t>
      </w:r>
      <w:r w:rsidR="00A52982">
        <w:rPr>
          <w:rFonts w:ascii="Calibri" w:eastAsia="Calibri" w:hAnsi="Calibri" w:cs="Calibri"/>
          <w:color w:val="000000"/>
          <w:sz w:val="22"/>
          <w:szCs w:val="22"/>
        </w:rPr>
        <w:t xml:space="preserve"> </w:t>
      </w:r>
      <w:r w:rsidRPr="00700B74">
        <w:rPr>
          <w:rFonts w:ascii="Calibri" w:eastAsia="Calibri" w:hAnsi="Calibri" w:cs="Calibri"/>
          <w:color w:val="000000"/>
          <w:sz w:val="22"/>
          <w:szCs w:val="22"/>
        </w:rPr>
        <w:t>A</w:t>
      </w:r>
      <w:r w:rsidR="00700B74">
        <w:rPr>
          <w:rFonts w:ascii="Calibri" w:eastAsia="Calibri" w:hAnsi="Calibri" w:cs="Calibri"/>
          <w:color w:val="000000"/>
          <w:sz w:val="22"/>
          <w:szCs w:val="22"/>
        </w:rPr>
        <w:t>1</w:t>
      </w:r>
      <w:r w:rsidR="00A52982">
        <w:rPr>
          <w:rFonts w:ascii="Calibri" w:eastAsia="Calibri" w:hAnsi="Calibri" w:cs="Calibri"/>
          <w:color w:val="000000"/>
          <w:sz w:val="22"/>
          <w:szCs w:val="22"/>
        </w:rPr>
        <w:t xml:space="preserve"> retail</w:t>
      </w:r>
      <w:r w:rsidR="00700B74">
        <w:rPr>
          <w:rFonts w:ascii="Calibri" w:eastAsia="Calibri" w:hAnsi="Calibri" w:cs="Calibri"/>
          <w:color w:val="000000"/>
          <w:sz w:val="22"/>
          <w:szCs w:val="22"/>
        </w:rPr>
        <w:t xml:space="preserve"> development</w:t>
      </w:r>
      <w:r w:rsidR="00161960">
        <w:rPr>
          <w:rFonts w:ascii="Calibri" w:eastAsia="Calibri" w:hAnsi="Calibri" w:cs="Calibri"/>
          <w:color w:val="000000"/>
          <w:sz w:val="22"/>
          <w:szCs w:val="22"/>
        </w:rPr>
        <w:t xml:space="preserve"> within the monitoring year. Although only two permissions</w:t>
      </w:r>
      <w:r w:rsidR="002B629B">
        <w:rPr>
          <w:rFonts w:ascii="Calibri" w:eastAsia="Calibri" w:hAnsi="Calibri" w:cs="Calibri"/>
          <w:color w:val="000000"/>
          <w:sz w:val="22"/>
          <w:szCs w:val="22"/>
        </w:rPr>
        <w:t xml:space="preserve"> were granted in 2013/14, they were both for major retail developments.</w:t>
      </w:r>
    </w:p>
    <w:p w:rsidR="002B629B" w:rsidRPr="00B93554" w:rsidRDefault="00D8302D" w:rsidP="004335B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w:t>
      </w:r>
      <w:r w:rsidR="00C47781">
        <w:rPr>
          <w:rFonts w:ascii="Calibri" w:eastAsia="Calibri" w:hAnsi="Calibri" w:cs="Calibri"/>
          <w:color w:val="000000"/>
          <w:sz w:val="22"/>
          <w:szCs w:val="22"/>
        </w:rPr>
        <w:t xml:space="preserve"> majority of the proposed Westgate development falls within the</w:t>
      </w:r>
      <w:r w:rsidR="009542DD">
        <w:rPr>
          <w:rFonts w:ascii="Calibri" w:eastAsia="Calibri" w:hAnsi="Calibri" w:cs="Calibri"/>
          <w:color w:val="000000"/>
          <w:sz w:val="22"/>
          <w:szCs w:val="22"/>
        </w:rPr>
        <w:t xml:space="preserve"> primary shopping area, although</w:t>
      </w:r>
      <w:r w:rsidR="00C47781">
        <w:rPr>
          <w:rFonts w:ascii="Calibri" w:eastAsia="Calibri" w:hAnsi="Calibri" w:cs="Calibri"/>
          <w:color w:val="000000"/>
          <w:sz w:val="22"/>
          <w:szCs w:val="22"/>
        </w:rPr>
        <w:t xml:space="preserve"> the anchor department store sits just outside of this, in an edge-of-city centre</w:t>
      </w:r>
      <w:r w:rsidR="00676205">
        <w:rPr>
          <w:rFonts w:ascii="Calibri" w:eastAsia="Calibri" w:hAnsi="Calibri" w:cs="Calibri"/>
          <w:color w:val="000000"/>
          <w:sz w:val="22"/>
          <w:szCs w:val="22"/>
        </w:rPr>
        <w:t xml:space="preserve"> (primary shopping area)</w:t>
      </w:r>
      <w:r w:rsidR="00C47781">
        <w:rPr>
          <w:rFonts w:ascii="Calibri" w:eastAsia="Calibri" w:hAnsi="Calibri" w:cs="Calibri"/>
          <w:color w:val="000000"/>
          <w:sz w:val="22"/>
          <w:szCs w:val="22"/>
        </w:rPr>
        <w:t xml:space="preserve"> location</w:t>
      </w:r>
      <w:r w:rsidR="00F83ECA">
        <w:rPr>
          <w:rFonts w:ascii="Calibri" w:eastAsia="Calibri" w:hAnsi="Calibri" w:cs="Calibri"/>
          <w:color w:val="000000"/>
          <w:sz w:val="22"/>
          <w:szCs w:val="22"/>
        </w:rPr>
        <w:t>. Both</w:t>
      </w:r>
      <w:r w:rsidR="009542DD">
        <w:rPr>
          <w:rFonts w:ascii="Calibri" w:eastAsia="Calibri" w:hAnsi="Calibri" w:cs="Calibri"/>
          <w:color w:val="000000"/>
          <w:sz w:val="22"/>
          <w:szCs w:val="22"/>
        </w:rPr>
        <w:t xml:space="preserve"> of</w:t>
      </w:r>
      <w:r w:rsidR="00F83ECA">
        <w:rPr>
          <w:rFonts w:ascii="Calibri" w:eastAsia="Calibri" w:hAnsi="Calibri" w:cs="Calibri"/>
          <w:color w:val="000000"/>
          <w:sz w:val="22"/>
          <w:szCs w:val="22"/>
        </w:rPr>
        <w:t xml:space="preserve"> </w:t>
      </w:r>
      <w:r w:rsidR="00676205">
        <w:rPr>
          <w:rFonts w:ascii="Calibri" w:eastAsia="Calibri" w:hAnsi="Calibri" w:cs="Calibri"/>
          <w:color w:val="000000"/>
          <w:sz w:val="22"/>
          <w:szCs w:val="22"/>
        </w:rPr>
        <w:t xml:space="preserve">these </w:t>
      </w:r>
      <w:r w:rsidR="009542DD">
        <w:rPr>
          <w:rFonts w:ascii="Calibri" w:eastAsia="Calibri" w:hAnsi="Calibri" w:cs="Calibri"/>
          <w:color w:val="000000"/>
          <w:sz w:val="22"/>
          <w:szCs w:val="22"/>
        </w:rPr>
        <w:t>location</w:t>
      </w:r>
      <w:r w:rsidR="00A52982">
        <w:rPr>
          <w:rFonts w:ascii="Calibri" w:eastAsia="Calibri" w:hAnsi="Calibri" w:cs="Calibri"/>
          <w:color w:val="000000"/>
          <w:sz w:val="22"/>
          <w:szCs w:val="22"/>
        </w:rPr>
        <w:t>s</w:t>
      </w:r>
      <w:r w:rsidR="00676205">
        <w:rPr>
          <w:rFonts w:ascii="Calibri" w:eastAsia="Calibri" w:hAnsi="Calibri" w:cs="Calibri"/>
          <w:color w:val="000000"/>
          <w:sz w:val="22"/>
          <w:szCs w:val="22"/>
        </w:rPr>
        <w:t xml:space="preserve"> form part of</w:t>
      </w:r>
      <w:r w:rsidR="009542DD">
        <w:rPr>
          <w:rFonts w:ascii="Calibri" w:eastAsia="Calibri" w:hAnsi="Calibri" w:cs="Calibri"/>
          <w:color w:val="000000"/>
          <w:sz w:val="22"/>
          <w:szCs w:val="22"/>
        </w:rPr>
        <w:t xml:space="preserve"> Oxford’s retail hierarchy</w:t>
      </w:r>
      <w:r w:rsidR="00A52982">
        <w:rPr>
          <w:rFonts w:ascii="Calibri" w:eastAsia="Calibri" w:hAnsi="Calibri" w:cs="Calibri"/>
          <w:color w:val="000000"/>
          <w:sz w:val="22"/>
          <w:szCs w:val="22"/>
        </w:rPr>
        <w:t xml:space="preserve">. The proposed development </w:t>
      </w:r>
      <w:r w:rsidR="009542DD">
        <w:rPr>
          <w:rFonts w:ascii="Calibri" w:eastAsia="Calibri" w:hAnsi="Calibri" w:cs="Calibri"/>
          <w:color w:val="000000"/>
          <w:sz w:val="22"/>
          <w:szCs w:val="22"/>
        </w:rPr>
        <w:t>was</w:t>
      </w:r>
      <w:r w:rsidR="00A52982">
        <w:rPr>
          <w:rFonts w:ascii="Calibri" w:eastAsia="Calibri" w:hAnsi="Calibri" w:cs="Calibri"/>
          <w:color w:val="000000"/>
          <w:sz w:val="22"/>
          <w:szCs w:val="22"/>
        </w:rPr>
        <w:t xml:space="preserve"> considered</w:t>
      </w:r>
      <w:r w:rsidR="00F83ECA">
        <w:rPr>
          <w:rFonts w:ascii="Calibri" w:eastAsia="Calibri" w:hAnsi="Calibri" w:cs="Calibri"/>
          <w:color w:val="000000"/>
          <w:sz w:val="22"/>
          <w:szCs w:val="22"/>
        </w:rPr>
        <w:t xml:space="preserve"> appropriate to the role and function of the city centre</w:t>
      </w:r>
      <w:r w:rsidR="00A52982">
        <w:rPr>
          <w:rFonts w:ascii="Calibri" w:eastAsia="Calibri" w:hAnsi="Calibri" w:cs="Calibri"/>
          <w:color w:val="000000"/>
          <w:sz w:val="22"/>
          <w:szCs w:val="22"/>
        </w:rPr>
        <w:t>.</w:t>
      </w:r>
    </w:p>
    <w:p w:rsidR="00A52982" w:rsidRPr="00A52982" w:rsidRDefault="00676205" w:rsidP="004335B5">
      <w:pPr>
        <w:numPr>
          <w:ilvl w:val="0"/>
          <w:numId w:val="8"/>
        </w:numPr>
        <w:spacing w:after="200" w:line="276" w:lineRule="auto"/>
        <w:jc w:val="both"/>
        <w:rPr>
          <w:rFonts w:ascii="Calibri" w:eastAsia="Calibri" w:hAnsi="Calibri" w:cs="Calibri"/>
          <w:color w:val="000000"/>
          <w:sz w:val="22"/>
          <w:szCs w:val="22"/>
        </w:rPr>
      </w:pPr>
      <w:r w:rsidRPr="00676205">
        <w:rPr>
          <w:rFonts w:ascii="Calibri" w:eastAsia="Calibri" w:hAnsi="Calibri" w:cs="Calibri"/>
          <w:color w:val="000000"/>
          <w:sz w:val="22"/>
          <w:szCs w:val="22"/>
        </w:rPr>
        <w:t xml:space="preserve">The retail development proposed at Barton forms part of a </w:t>
      </w:r>
      <w:r w:rsidR="002E6B5D">
        <w:rPr>
          <w:rFonts w:ascii="Calibri" w:eastAsia="Calibri" w:hAnsi="Calibri" w:cs="Calibri"/>
          <w:color w:val="000000"/>
          <w:sz w:val="22"/>
          <w:szCs w:val="22"/>
        </w:rPr>
        <w:t>wider</w:t>
      </w:r>
      <w:r w:rsidRPr="00676205">
        <w:rPr>
          <w:rFonts w:ascii="Calibri" w:eastAsia="Calibri" w:hAnsi="Calibri" w:cs="Calibri"/>
          <w:color w:val="000000"/>
          <w:sz w:val="22"/>
          <w:szCs w:val="22"/>
        </w:rPr>
        <w:t xml:space="preserve"> residential development. </w:t>
      </w:r>
      <w:r>
        <w:rPr>
          <w:rFonts w:ascii="Calibri" w:eastAsia="Calibri" w:hAnsi="Calibri" w:cs="Calibri"/>
          <w:color w:val="000000"/>
          <w:sz w:val="22"/>
          <w:szCs w:val="22"/>
        </w:rPr>
        <w:t>T</w:t>
      </w:r>
      <w:r w:rsidR="004E63C4" w:rsidRPr="00676205">
        <w:rPr>
          <w:rFonts w:ascii="Calibri" w:eastAsia="Calibri" w:hAnsi="Calibri" w:cs="Calibri"/>
          <w:color w:val="000000"/>
          <w:sz w:val="22"/>
          <w:szCs w:val="22"/>
        </w:rPr>
        <w:t xml:space="preserve">he retail </w:t>
      </w:r>
      <w:r w:rsidR="001C455A">
        <w:rPr>
          <w:rFonts w:ascii="Calibri" w:eastAsia="Calibri" w:hAnsi="Calibri" w:cs="Calibri"/>
          <w:color w:val="000000"/>
          <w:sz w:val="22"/>
          <w:szCs w:val="22"/>
        </w:rPr>
        <w:t>element is to form part of a</w:t>
      </w:r>
      <w:r w:rsidR="004E63C4" w:rsidRPr="00676205">
        <w:rPr>
          <w:rFonts w:ascii="Calibri" w:eastAsia="Calibri" w:hAnsi="Calibri" w:cs="Calibri"/>
          <w:color w:val="000000"/>
          <w:sz w:val="22"/>
          <w:szCs w:val="22"/>
        </w:rPr>
        <w:t xml:space="preserve"> local centre that </w:t>
      </w:r>
      <w:r>
        <w:rPr>
          <w:rFonts w:ascii="Calibri" w:eastAsia="Calibri" w:hAnsi="Calibri" w:cs="Calibri"/>
          <w:color w:val="000000"/>
          <w:sz w:val="22"/>
          <w:szCs w:val="22"/>
        </w:rPr>
        <w:t xml:space="preserve">will serve the new community’s needs. </w:t>
      </w:r>
      <w:r w:rsidR="004E63C4" w:rsidRPr="00676205">
        <w:rPr>
          <w:rFonts w:ascii="Calibri" w:eastAsia="Calibri" w:hAnsi="Calibri" w:cs="Calibri"/>
          <w:color w:val="000000"/>
          <w:sz w:val="22"/>
          <w:szCs w:val="22"/>
        </w:rPr>
        <w:t xml:space="preserve">The Inspector’s report on the Barton AAP examination stated: </w:t>
      </w:r>
      <w:r w:rsidR="004E63C4" w:rsidRPr="00676205">
        <w:rPr>
          <w:rFonts w:ascii="Calibri" w:eastAsia="Calibri" w:hAnsi="Calibri" w:cs="Calibri"/>
          <w:i/>
          <w:color w:val="000000"/>
          <w:sz w:val="22"/>
          <w:szCs w:val="22"/>
        </w:rPr>
        <w:t>“</w:t>
      </w:r>
      <w:r w:rsidR="004E63C4" w:rsidRPr="00676205">
        <w:rPr>
          <w:rFonts w:ascii="Calibri" w:eastAsia="Calibri" w:hAnsi="Calibri" w:cs="Calibri"/>
          <w:bCs/>
          <w:i/>
          <w:color w:val="000000"/>
          <w:sz w:val="22"/>
          <w:szCs w:val="22"/>
        </w:rPr>
        <w:t>Policies BA10 and BA11 make provision for a Local Centre including a 2,000 square metres convenience retail use a</w:t>
      </w:r>
      <w:r w:rsidR="002E6B5D">
        <w:rPr>
          <w:rFonts w:ascii="Calibri" w:eastAsia="Calibri" w:hAnsi="Calibri" w:cs="Calibri"/>
          <w:bCs/>
          <w:i/>
          <w:color w:val="000000"/>
          <w:sz w:val="22"/>
          <w:szCs w:val="22"/>
        </w:rPr>
        <w:t>nd a multi-purpose community hub</w:t>
      </w:r>
      <w:r w:rsidR="002E6B5D" w:rsidRPr="00676205">
        <w:rPr>
          <w:rFonts w:ascii="Calibri" w:eastAsia="Calibri" w:hAnsi="Calibri" w:cs="Calibri"/>
          <w:bCs/>
          <w:i/>
          <w:color w:val="000000"/>
          <w:sz w:val="22"/>
          <w:szCs w:val="22"/>
        </w:rPr>
        <w:t xml:space="preserve"> </w:t>
      </w:r>
      <w:r w:rsidR="004E63C4" w:rsidRPr="00676205">
        <w:rPr>
          <w:rFonts w:ascii="Calibri" w:eastAsia="Calibri" w:hAnsi="Calibri" w:cs="Calibri"/>
          <w:bCs/>
          <w:i/>
          <w:color w:val="000000"/>
          <w:sz w:val="22"/>
          <w:szCs w:val="22"/>
        </w:rPr>
        <w:t>… The provision of these facilities within the strategic development site is consistent with the requirements of the C</w:t>
      </w:r>
      <w:r w:rsidR="001C455A">
        <w:rPr>
          <w:rFonts w:ascii="Calibri" w:eastAsia="Calibri" w:hAnsi="Calibri" w:cs="Calibri"/>
          <w:bCs/>
          <w:i/>
          <w:color w:val="000000"/>
          <w:sz w:val="22"/>
          <w:szCs w:val="22"/>
        </w:rPr>
        <w:t xml:space="preserve">ore </w:t>
      </w:r>
      <w:r w:rsidR="004E63C4" w:rsidRPr="00676205">
        <w:rPr>
          <w:rFonts w:ascii="Calibri" w:eastAsia="Calibri" w:hAnsi="Calibri" w:cs="Calibri"/>
          <w:bCs/>
          <w:i/>
          <w:color w:val="000000"/>
          <w:sz w:val="22"/>
          <w:szCs w:val="22"/>
        </w:rPr>
        <w:t>S</w:t>
      </w:r>
      <w:r w:rsidR="001C455A">
        <w:rPr>
          <w:rFonts w:ascii="Calibri" w:eastAsia="Calibri" w:hAnsi="Calibri" w:cs="Calibri"/>
          <w:bCs/>
          <w:i/>
          <w:color w:val="000000"/>
          <w:sz w:val="22"/>
          <w:szCs w:val="22"/>
        </w:rPr>
        <w:t>trategy</w:t>
      </w:r>
      <w:r w:rsidR="004E63C4" w:rsidRPr="00676205">
        <w:rPr>
          <w:rFonts w:ascii="Calibri" w:eastAsia="Calibri" w:hAnsi="Calibri" w:cs="Calibri"/>
          <w:bCs/>
          <w:i/>
          <w:color w:val="000000"/>
          <w:sz w:val="22"/>
          <w:szCs w:val="22"/>
        </w:rPr>
        <w:t xml:space="preserve"> and will promote the creation of a sustainable new community, rather than simply a vast new housing estate. These policies are underpinned by robust evidence</w:t>
      </w:r>
      <w:r w:rsidR="00A52982">
        <w:rPr>
          <w:rFonts w:ascii="Calibri" w:eastAsia="Calibri" w:hAnsi="Calibri" w:cs="Calibri"/>
          <w:bCs/>
          <w:i/>
          <w:color w:val="000000"/>
          <w:sz w:val="22"/>
          <w:szCs w:val="22"/>
        </w:rPr>
        <w:t>, including a retail assessment”.</w:t>
      </w:r>
    </w:p>
    <w:p w:rsidR="001F31F1" w:rsidRPr="00A52982" w:rsidRDefault="004E63C4" w:rsidP="00A52982">
      <w:pPr>
        <w:spacing w:after="200" w:line="276" w:lineRule="auto"/>
        <w:ind w:left="360"/>
        <w:jc w:val="both"/>
        <w:rPr>
          <w:rFonts w:ascii="Calibri" w:eastAsia="Calibri" w:hAnsi="Calibri" w:cs="Calibri"/>
          <w:color w:val="000000"/>
          <w:sz w:val="22"/>
          <w:szCs w:val="22"/>
        </w:rPr>
      </w:pPr>
      <w:r w:rsidRPr="00A52982">
        <w:rPr>
          <w:rFonts w:ascii="Calibri" w:eastAsia="Calibri" w:hAnsi="Calibri" w:cs="Calibri"/>
          <w:bCs/>
          <w:i/>
          <w:color w:val="000000"/>
          <w:sz w:val="22"/>
          <w:szCs w:val="22"/>
        </w:rPr>
        <w:t xml:space="preserve"> </w:t>
      </w:r>
    </w:p>
    <w:p w:rsidR="002669E1" w:rsidRPr="004E63C4" w:rsidRDefault="00100981" w:rsidP="00A52982">
      <w:pPr>
        <w:spacing w:after="200" w:line="276" w:lineRule="auto"/>
        <w:jc w:val="both"/>
        <w:rPr>
          <w:rFonts w:ascii="Calibri" w:eastAsia="Calibri" w:hAnsi="Calibri" w:cs="Calibri"/>
          <w:color w:val="000000"/>
          <w:sz w:val="22"/>
          <w:szCs w:val="22"/>
        </w:rPr>
      </w:pPr>
      <w:r w:rsidRPr="00100981">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11840" behindDoc="0" locked="0" layoutInCell="1" allowOverlap="1" wp14:anchorId="4FFD62C6" wp14:editId="46C332E0">
                <wp:simplePos x="0" y="0"/>
                <wp:positionH relativeFrom="column">
                  <wp:posOffset>3404235</wp:posOffset>
                </wp:positionH>
                <wp:positionV relativeFrom="paragraph">
                  <wp:posOffset>-563245</wp:posOffset>
                </wp:positionV>
                <wp:extent cx="2427605" cy="352425"/>
                <wp:effectExtent l="0" t="0" r="0" b="9525"/>
                <wp:wrapNone/>
                <wp:docPr id="124" name="Text Box 124"/>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100981">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4" o:spid="_x0000_s1038" type="#_x0000_t202" style="position:absolute;left:0;text-align:left;margin-left:268.05pt;margin-top:-44.35pt;width:191.15pt;height:27.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" fillcolor="window" stroked="f" strokeweight=".5pt">
                <v:textbox>
                  <w:txbxContent>
                    <w:p w:rsidR="000D3CFF" w:rsidRPr="00280EB5" w:rsidRDefault="000D3CFF" w:rsidP="00100981">
                      <w:pPr>
                        <w:jc w:val="right"/>
                        <w:rPr>
                          <w:b/>
                          <w:color w:val="17365D" w:themeColor="text2" w:themeShade="BF"/>
                        </w:rPr>
                      </w:pPr>
                      <w:r>
                        <w:rPr>
                          <w:b/>
                          <w:color w:val="17365D" w:themeColor="text2" w:themeShade="BF"/>
                        </w:rPr>
                        <w:t>Vibrant, Sustainable Economy</w:t>
                      </w:r>
                    </w:p>
                  </w:txbxContent>
                </v:textbox>
              </v:shape>
            </w:pict>
          </mc:Fallback>
        </mc:AlternateContent>
      </w:r>
      <w:r w:rsidR="007C60D8">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73600" behindDoc="1" locked="0" layoutInCell="1" allowOverlap="1" wp14:anchorId="49839943" wp14:editId="589B69AB">
                <wp:simplePos x="0" y="0"/>
                <wp:positionH relativeFrom="column">
                  <wp:posOffset>-57150</wp:posOffset>
                </wp:positionH>
                <wp:positionV relativeFrom="paragraph">
                  <wp:posOffset>-9525</wp:posOffset>
                </wp:positionV>
                <wp:extent cx="5848350" cy="1895475"/>
                <wp:effectExtent l="0" t="0" r="0" b="9525"/>
                <wp:wrapNone/>
                <wp:docPr id="55" name="Rectangle 55"/>
                <wp:cNvGraphicFramePr/>
                <a:graphic xmlns:a="http://schemas.openxmlformats.org/drawingml/2006/main">
                  <a:graphicData uri="http://schemas.microsoft.com/office/word/2010/wordprocessingShape">
                    <wps:wsp>
                      <wps:cNvSpPr/>
                      <wps:spPr>
                        <a:xfrm>
                          <a:off x="0" y="0"/>
                          <a:ext cx="5848350" cy="189547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5pt;margin-top:-.75pt;width:460.5pt;height:14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" fillcolor="#dbeef4" stroked="f" strokeweight="2pt"/>
            </w:pict>
          </mc:Fallback>
        </mc:AlternateContent>
      </w:r>
      <w:r w:rsidR="002669E1" w:rsidRPr="004E63C4">
        <w:rPr>
          <w:rFonts w:ascii="Calibri" w:eastAsia="Calibri" w:hAnsi="Calibri" w:cs="Calibri"/>
          <w:b/>
          <w:color w:val="244061" w:themeColor="accent1" w:themeShade="80"/>
        </w:rPr>
        <w:t>Indicator 8: MARKET AND VITALITY INDICATORS</w:t>
      </w:r>
    </w:p>
    <w:p w:rsidR="002669E1" w:rsidRDefault="002669E1" w:rsidP="002669E1">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Target: Local Plan targets for A1 use</w:t>
      </w:r>
      <w:r w:rsidR="00A52982">
        <w:rPr>
          <w:rFonts w:ascii="Calibri" w:eastAsia="Calibri" w:hAnsi="Calibri" w:cs="Calibri"/>
          <w:b/>
          <w:color w:val="244061" w:themeColor="accent1" w:themeShade="80"/>
          <w:sz w:val="22"/>
          <w:szCs w:val="22"/>
        </w:rPr>
        <w:t>s</w:t>
      </w:r>
      <w:r>
        <w:rPr>
          <w:rFonts w:ascii="Calibri" w:eastAsia="Calibri" w:hAnsi="Calibri" w:cs="Calibri"/>
          <w:b/>
          <w:color w:val="244061" w:themeColor="accent1" w:themeShade="80"/>
          <w:sz w:val="22"/>
          <w:szCs w:val="22"/>
        </w:rPr>
        <w:t xml:space="preserve"> </w:t>
      </w:r>
      <w:r w:rsidR="008B20EB">
        <w:rPr>
          <w:rFonts w:ascii="Calibri" w:eastAsia="Calibri" w:hAnsi="Calibri" w:cs="Calibri"/>
          <w:b/>
          <w:color w:val="244061" w:themeColor="accent1" w:themeShade="80"/>
          <w:sz w:val="22"/>
          <w:szCs w:val="22"/>
        </w:rPr>
        <w:t>on designated frontag</w:t>
      </w:r>
      <w:r w:rsidR="00A52982">
        <w:rPr>
          <w:rFonts w:ascii="Calibri" w:eastAsia="Calibri" w:hAnsi="Calibri" w:cs="Calibri"/>
          <w:b/>
          <w:color w:val="244061" w:themeColor="accent1" w:themeShade="80"/>
          <w:sz w:val="22"/>
          <w:szCs w:val="22"/>
        </w:rPr>
        <w:t>es in the c</w:t>
      </w:r>
      <w:r w:rsidR="008B20EB">
        <w:rPr>
          <w:rFonts w:ascii="Calibri" w:eastAsia="Calibri" w:hAnsi="Calibri" w:cs="Calibri"/>
          <w:b/>
          <w:color w:val="244061" w:themeColor="accent1" w:themeShade="80"/>
          <w:sz w:val="22"/>
          <w:szCs w:val="22"/>
        </w:rPr>
        <w:t xml:space="preserve">ity and </w:t>
      </w:r>
      <w:r w:rsidR="003161C9">
        <w:rPr>
          <w:rFonts w:ascii="Calibri" w:eastAsia="Calibri" w:hAnsi="Calibri" w:cs="Calibri"/>
          <w:b/>
          <w:color w:val="244061" w:themeColor="accent1" w:themeShade="80"/>
          <w:sz w:val="22"/>
          <w:szCs w:val="22"/>
        </w:rPr>
        <w:t>district centre</w:t>
      </w:r>
      <w:r w:rsidR="00AB7777">
        <w:rPr>
          <w:rFonts w:ascii="Calibri" w:eastAsia="Calibri" w:hAnsi="Calibri" w:cs="Calibri"/>
          <w:b/>
          <w:color w:val="244061" w:themeColor="accent1" w:themeShade="80"/>
          <w:sz w:val="22"/>
          <w:szCs w:val="22"/>
        </w:rPr>
        <w:t>s</w:t>
      </w:r>
      <w:r w:rsidR="00A52982">
        <w:rPr>
          <w:rFonts w:ascii="Calibri" w:eastAsia="Calibri" w:hAnsi="Calibri" w:cs="Calibri"/>
          <w:b/>
          <w:color w:val="244061" w:themeColor="accent1" w:themeShade="80"/>
          <w:sz w:val="22"/>
          <w:szCs w:val="22"/>
        </w:rPr>
        <w:t xml:space="preserve"> should be met</w:t>
      </w:r>
      <w:r w:rsidR="008B20EB">
        <w:rPr>
          <w:rFonts w:ascii="Calibri" w:eastAsia="Calibri" w:hAnsi="Calibri" w:cs="Calibri"/>
          <w:b/>
          <w:color w:val="244061" w:themeColor="accent1" w:themeShade="80"/>
          <w:sz w:val="22"/>
          <w:szCs w:val="22"/>
        </w:rPr>
        <w:t xml:space="preserve"> </w:t>
      </w:r>
      <w:r w:rsidR="008B20EB" w:rsidRPr="00ED365D">
        <w:rPr>
          <w:rFonts w:ascii="Calibri" w:eastAsia="Calibri" w:hAnsi="Calibri" w:cs="Calibri"/>
          <w:color w:val="244061" w:themeColor="accent1" w:themeShade="80"/>
          <w:sz w:val="20"/>
          <w:szCs w:val="22"/>
        </w:rPr>
        <w:t>(</w:t>
      </w:r>
      <w:r w:rsidR="008B20EB">
        <w:rPr>
          <w:rFonts w:ascii="Calibri" w:eastAsia="Calibri" w:hAnsi="Calibri" w:cs="Calibri"/>
          <w:color w:val="244061" w:themeColor="accent1" w:themeShade="80"/>
          <w:sz w:val="20"/>
          <w:szCs w:val="22"/>
        </w:rPr>
        <w:t>Saved Oxford Local Plan Policies RC3 &amp; RC4</w:t>
      </w:r>
      <w:r w:rsidR="008B20EB" w:rsidRPr="00ED365D">
        <w:rPr>
          <w:rFonts w:ascii="Calibri" w:eastAsia="Calibri" w:hAnsi="Calibri" w:cs="Calibri"/>
          <w:color w:val="244061" w:themeColor="accent1" w:themeShade="80"/>
          <w:sz w:val="20"/>
          <w:szCs w:val="22"/>
        </w:rPr>
        <w:t>)</w:t>
      </w:r>
    </w:p>
    <w:p w:rsidR="002669E1" w:rsidRDefault="002669E1" w:rsidP="002669E1">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2669E1" w:rsidTr="00682A91">
        <w:trPr>
          <w:trHeight w:val="218"/>
        </w:trPr>
        <w:tc>
          <w:tcPr>
            <w:tcW w:w="5420" w:type="dxa"/>
          </w:tcPr>
          <w:p w:rsidR="002669E1" w:rsidRPr="00742A00" w:rsidRDefault="002669E1" w:rsidP="00682A91">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2669E1" w:rsidRDefault="002669E1"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2669E1" w:rsidTr="00682A91">
        <w:tc>
          <w:tcPr>
            <w:tcW w:w="5420" w:type="dxa"/>
            <w:vMerge w:val="restart"/>
          </w:tcPr>
          <w:p w:rsidR="002669E1" w:rsidRPr="00E523A6" w:rsidRDefault="002669E1" w:rsidP="00682A91">
            <w:pPr>
              <w:autoSpaceDE w:val="0"/>
              <w:autoSpaceDN w:val="0"/>
              <w:adjustRightInd w:val="0"/>
              <w:jc w:val="center"/>
              <w:rPr>
                <w:rFonts w:ascii="Calibri" w:eastAsia="Calibri" w:hAnsi="Calibri" w:cs="Calibri"/>
                <w:b/>
                <w:color w:val="244061" w:themeColor="accent1" w:themeShade="80"/>
                <w:sz w:val="8"/>
                <w:szCs w:val="8"/>
              </w:rPr>
            </w:pPr>
          </w:p>
          <w:p w:rsidR="002669E1" w:rsidRPr="00742A00" w:rsidRDefault="00F61597" w:rsidP="00682A91">
            <w:pPr>
              <w:autoSpaceDE w:val="0"/>
              <w:autoSpaceDN w:val="0"/>
              <w:adjustRightInd w:val="0"/>
              <w:jc w:val="center"/>
              <w:rPr>
                <w:rFonts w:ascii="Calibri" w:eastAsia="Calibri" w:hAnsi="Calibri" w:cs="Calibri"/>
                <w:b/>
                <w:color w:val="244061" w:themeColor="accent1" w:themeShade="80"/>
                <w:sz w:val="12"/>
                <w:szCs w:val="12"/>
              </w:rPr>
            </w:pPr>
            <w:r>
              <w:rPr>
                <w:b/>
                <w:noProof/>
                <w:sz w:val="32"/>
                <w:szCs w:val="32"/>
                <w:lang w:eastAsia="en-GB"/>
              </w:rPr>
              <w:drawing>
                <wp:inline distT="0" distB="0" distL="0" distR="0" wp14:anchorId="5D31A627" wp14:editId="54C0089F">
                  <wp:extent cx="1619250" cy="504996"/>
                  <wp:effectExtent l="0" t="0" r="0" b="9525"/>
                  <wp:docPr id="200" name="Picture 200"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2669E1" w:rsidRDefault="002669E1"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2669E1" w:rsidRDefault="002669E1"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6617AF86" wp14:editId="35B599DF">
                  <wp:extent cx="1085850" cy="338644"/>
                  <wp:effectExtent l="0" t="0" r="0" b="4445"/>
                  <wp:docPr id="52" name="Picture 5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2669E1" w:rsidRPr="00E523A6" w:rsidRDefault="002669E1" w:rsidP="00682A91">
            <w:pPr>
              <w:autoSpaceDE w:val="0"/>
              <w:autoSpaceDN w:val="0"/>
              <w:adjustRightInd w:val="0"/>
              <w:jc w:val="center"/>
              <w:rPr>
                <w:rFonts w:ascii="Calibri" w:eastAsia="Calibri" w:hAnsi="Calibri" w:cs="Calibri"/>
                <w:b/>
                <w:color w:val="244061" w:themeColor="accent1" w:themeShade="80"/>
                <w:sz w:val="8"/>
                <w:szCs w:val="8"/>
              </w:rPr>
            </w:pPr>
          </w:p>
        </w:tc>
      </w:tr>
      <w:tr w:rsidR="002669E1" w:rsidTr="00682A91">
        <w:tc>
          <w:tcPr>
            <w:tcW w:w="5420" w:type="dxa"/>
            <w:vMerge/>
          </w:tcPr>
          <w:p w:rsidR="002669E1" w:rsidRDefault="002669E1" w:rsidP="00682A91">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2669E1" w:rsidRDefault="002669E1" w:rsidP="00682A91">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2669E1" w:rsidRDefault="002669E1" w:rsidP="00682A91">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12DCD2F6" wp14:editId="3C95DDC4">
                  <wp:extent cx="1085850" cy="326964"/>
                  <wp:effectExtent l="0" t="0" r="0" b="0"/>
                  <wp:docPr id="54" name="Picture 5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2669E1" w:rsidRDefault="002669E1" w:rsidP="002669E1">
      <w:pPr>
        <w:autoSpaceDE w:val="0"/>
        <w:autoSpaceDN w:val="0"/>
        <w:adjustRightInd w:val="0"/>
        <w:jc w:val="both"/>
        <w:rPr>
          <w:rFonts w:ascii="Calibri" w:eastAsia="Calibri" w:hAnsi="Calibri" w:cs="Calibri"/>
          <w:color w:val="000000"/>
          <w:sz w:val="22"/>
          <w:szCs w:val="22"/>
        </w:rPr>
      </w:pPr>
    </w:p>
    <w:p w:rsidR="00B032CE" w:rsidRDefault="00B032CE" w:rsidP="002669E1">
      <w:pPr>
        <w:autoSpaceDE w:val="0"/>
        <w:autoSpaceDN w:val="0"/>
        <w:adjustRightInd w:val="0"/>
        <w:jc w:val="both"/>
        <w:rPr>
          <w:rFonts w:ascii="Calibri" w:eastAsia="Calibri" w:hAnsi="Calibri" w:cs="Calibri"/>
          <w:sz w:val="22"/>
          <w:szCs w:val="22"/>
        </w:rPr>
      </w:pPr>
    </w:p>
    <w:p w:rsidR="00372274" w:rsidRDefault="00372274" w:rsidP="002669E1">
      <w:pPr>
        <w:autoSpaceDE w:val="0"/>
        <w:autoSpaceDN w:val="0"/>
        <w:adjustRightInd w:val="0"/>
        <w:jc w:val="both"/>
        <w:rPr>
          <w:rFonts w:ascii="Calibri" w:eastAsia="Calibri" w:hAnsi="Calibri" w:cs="Calibri"/>
          <w:b/>
          <w:color w:val="244061" w:themeColor="accent1" w:themeShade="80"/>
          <w:sz w:val="22"/>
          <w:szCs w:val="22"/>
        </w:rPr>
      </w:pPr>
      <w:r w:rsidRPr="00372274">
        <w:rPr>
          <w:rFonts w:ascii="Calibri" w:eastAsia="Calibri" w:hAnsi="Calibri" w:cs="Calibri"/>
          <w:b/>
          <w:color w:val="244061" w:themeColor="accent1" w:themeShade="80"/>
          <w:sz w:val="22"/>
          <w:szCs w:val="22"/>
        </w:rPr>
        <w:t>Vacancy</w:t>
      </w:r>
      <w:r w:rsidR="00AD73A3">
        <w:rPr>
          <w:rFonts w:ascii="Calibri" w:eastAsia="Calibri" w:hAnsi="Calibri" w:cs="Calibri"/>
          <w:b/>
          <w:color w:val="244061" w:themeColor="accent1" w:themeShade="80"/>
          <w:sz w:val="22"/>
          <w:szCs w:val="22"/>
        </w:rPr>
        <w:t xml:space="preserve"> Rates</w:t>
      </w:r>
    </w:p>
    <w:p w:rsidR="00E7018D" w:rsidRPr="00AD73A3" w:rsidRDefault="00E7018D" w:rsidP="002669E1">
      <w:pPr>
        <w:autoSpaceDE w:val="0"/>
        <w:autoSpaceDN w:val="0"/>
        <w:adjustRightInd w:val="0"/>
        <w:jc w:val="both"/>
        <w:rPr>
          <w:rFonts w:ascii="Calibri" w:eastAsia="Calibri" w:hAnsi="Calibri" w:cs="Calibri"/>
          <w:b/>
          <w:color w:val="244061" w:themeColor="accent1" w:themeShade="80"/>
          <w:sz w:val="22"/>
          <w:szCs w:val="22"/>
        </w:rPr>
      </w:pPr>
    </w:p>
    <w:p w:rsidR="00AD73A3" w:rsidRPr="00657E4D" w:rsidRDefault="00657E4D" w:rsidP="00657E4D">
      <w:pPr>
        <w:autoSpaceDE w:val="0"/>
        <w:autoSpaceDN w:val="0"/>
        <w:adjustRightInd w:val="0"/>
        <w:jc w:val="center"/>
        <w:rPr>
          <w:rFonts w:ascii="Calibri" w:eastAsia="Calibri" w:hAnsi="Calibri" w:cs="Calibri"/>
          <w:color w:val="244061" w:themeColor="accent1" w:themeShade="80"/>
          <w:sz w:val="22"/>
          <w:szCs w:val="22"/>
        </w:rPr>
      </w:pPr>
      <w:r>
        <w:rPr>
          <w:noProof/>
          <w:lang w:eastAsia="en-GB"/>
        </w:rPr>
        <w:drawing>
          <wp:inline distT="0" distB="0" distL="0" distR="0" wp14:anchorId="5C697D18" wp14:editId="55F0FA34">
            <wp:extent cx="5734050" cy="3476625"/>
            <wp:effectExtent l="0" t="0" r="0" b="0"/>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00981" w:rsidRPr="00100981">
        <w:rPr>
          <w:rFonts w:ascii="Calibri" w:hAnsi="Calibri" w:cs="Calibri"/>
          <w:b/>
          <w:sz w:val="20"/>
          <w:szCs w:val="18"/>
        </w:rPr>
        <w:t>Figure 7</w:t>
      </w:r>
      <w:r w:rsidR="00AD73A3" w:rsidRPr="00100981">
        <w:rPr>
          <w:rFonts w:ascii="Calibri" w:hAnsi="Calibri" w:cs="Calibri"/>
          <w:b/>
          <w:sz w:val="20"/>
          <w:szCs w:val="18"/>
        </w:rPr>
        <w:t xml:space="preserve">: </w:t>
      </w:r>
      <w:r w:rsidR="00100981">
        <w:rPr>
          <w:rFonts w:ascii="Calibri" w:hAnsi="Calibri" w:cs="Calibri"/>
          <w:sz w:val="20"/>
          <w:szCs w:val="18"/>
        </w:rPr>
        <w:t>Percentage of v</w:t>
      </w:r>
      <w:r w:rsidR="003F1F4E">
        <w:rPr>
          <w:rFonts w:ascii="Calibri" w:hAnsi="Calibri" w:cs="Calibri"/>
          <w:sz w:val="20"/>
          <w:szCs w:val="18"/>
        </w:rPr>
        <w:t>acant shops in the c</w:t>
      </w:r>
      <w:r w:rsidR="00AD73A3" w:rsidRPr="00100981">
        <w:rPr>
          <w:rFonts w:ascii="Calibri" w:hAnsi="Calibri" w:cs="Calibri"/>
          <w:sz w:val="20"/>
          <w:szCs w:val="18"/>
        </w:rPr>
        <w:t>ity</w:t>
      </w:r>
      <w:r w:rsidR="00336F6C" w:rsidRPr="00100981">
        <w:rPr>
          <w:rFonts w:ascii="Calibri" w:hAnsi="Calibri" w:cs="Calibri"/>
          <w:sz w:val="20"/>
          <w:szCs w:val="18"/>
        </w:rPr>
        <w:t xml:space="preserve"> and </w:t>
      </w:r>
      <w:r w:rsidR="003161C9" w:rsidRPr="00100981">
        <w:rPr>
          <w:rFonts w:ascii="Calibri" w:hAnsi="Calibri" w:cs="Calibri"/>
          <w:sz w:val="20"/>
          <w:szCs w:val="18"/>
        </w:rPr>
        <w:t>district centre</w:t>
      </w:r>
      <w:r w:rsidR="00AD73A3" w:rsidRPr="00100981">
        <w:rPr>
          <w:rFonts w:ascii="Calibri" w:hAnsi="Calibri" w:cs="Calibri"/>
          <w:sz w:val="20"/>
          <w:szCs w:val="18"/>
        </w:rPr>
        <w:t>s</w:t>
      </w:r>
      <w:r w:rsidR="00A52982">
        <w:rPr>
          <w:rFonts w:ascii="Calibri" w:hAnsi="Calibri" w:cs="Calibri"/>
          <w:sz w:val="20"/>
          <w:szCs w:val="18"/>
        </w:rPr>
        <w:t xml:space="preserve"> (</w:t>
      </w:r>
      <w:r w:rsidR="00A52982" w:rsidRPr="00100981">
        <w:rPr>
          <w:rFonts w:ascii="Calibri" w:hAnsi="Calibri" w:cs="Calibri"/>
          <w:sz w:val="20"/>
          <w:szCs w:val="18"/>
        </w:rPr>
        <w:t>Feb</w:t>
      </w:r>
      <w:r w:rsidR="00A52982">
        <w:rPr>
          <w:rFonts w:ascii="Calibri" w:hAnsi="Calibri" w:cs="Calibri"/>
          <w:sz w:val="20"/>
          <w:szCs w:val="18"/>
        </w:rPr>
        <w:t>ruary</w:t>
      </w:r>
      <w:r w:rsidR="00AD73A3" w:rsidRPr="00100981">
        <w:rPr>
          <w:rFonts w:ascii="Calibri" w:hAnsi="Calibri" w:cs="Calibri"/>
          <w:sz w:val="20"/>
          <w:szCs w:val="18"/>
        </w:rPr>
        <w:t xml:space="preserve"> 2014</w:t>
      </w:r>
      <w:r w:rsidR="00A52982">
        <w:rPr>
          <w:rFonts w:ascii="Calibri" w:hAnsi="Calibri" w:cs="Calibri"/>
          <w:sz w:val="20"/>
          <w:szCs w:val="18"/>
        </w:rPr>
        <w:t xml:space="preserve"> Retail Survey</w:t>
      </w:r>
      <w:r w:rsidR="00AD73A3" w:rsidRPr="00100981">
        <w:rPr>
          <w:rFonts w:ascii="Calibri" w:hAnsi="Calibri" w:cs="Calibri"/>
          <w:sz w:val="20"/>
          <w:szCs w:val="18"/>
        </w:rPr>
        <w:t>)</w:t>
      </w:r>
    </w:p>
    <w:p w:rsidR="00AD73A3" w:rsidRDefault="00AD73A3" w:rsidP="00AD73A3">
      <w:pPr>
        <w:autoSpaceDE w:val="0"/>
        <w:autoSpaceDN w:val="0"/>
        <w:adjustRightInd w:val="0"/>
        <w:jc w:val="center"/>
        <w:rPr>
          <w:rFonts w:ascii="Calibri" w:eastAsia="Calibri" w:hAnsi="Calibri" w:cs="Calibri"/>
          <w:color w:val="244061" w:themeColor="accent1" w:themeShade="80"/>
          <w:sz w:val="22"/>
          <w:szCs w:val="22"/>
        </w:rPr>
      </w:pPr>
    </w:p>
    <w:p w:rsidR="00E7018D" w:rsidRPr="00372274" w:rsidRDefault="00E7018D" w:rsidP="00AD73A3">
      <w:pPr>
        <w:autoSpaceDE w:val="0"/>
        <w:autoSpaceDN w:val="0"/>
        <w:adjustRightInd w:val="0"/>
        <w:jc w:val="center"/>
        <w:rPr>
          <w:rFonts w:ascii="Calibri" w:eastAsia="Calibri" w:hAnsi="Calibri" w:cs="Calibri"/>
          <w:color w:val="244061" w:themeColor="accent1" w:themeShade="80"/>
          <w:sz w:val="22"/>
          <w:szCs w:val="22"/>
        </w:rPr>
      </w:pPr>
    </w:p>
    <w:p w:rsidR="00BE2B37" w:rsidRPr="00AD73A3" w:rsidRDefault="00AD73A3" w:rsidP="004335B5">
      <w:pPr>
        <w:numPr>
          <w:ilvl w:val="0"/>
          <w:numId w:val="8"/>
        </w:numPr>
        <w:spacing w:after="200" w:line="276" w:lineRule="auto"/>
        <w:jc w:val="both"/>
        <w:rPr>
          <w:rFonts w:ascii="Calibri" w:eastAsia="Calibri" w:hAnsi="Calibri" w:cs="Calibri"/>
          <w:color w:val="000000"/>
          <w:sz w:val="22"/>
          <w:szCs w:val="22"/>
        </w:rPr>
      </w:pPr>
      <w:r>
        <w:rPr>
          <w:rFonts w:ascii="Calibri" w:hAnsi="Calibri" w:cs="Calibri"/>
          <w:sz w:val="22"/>
          <w:szCs w:val="22"/>
        </w:rPr>
        <w:t>The proportion of vacant units is one of the key market indicators used to measure the vitality and viability of existing centres. The economic conditions during the monitoring year for businesses continued to b</w:t>
      </w:r>
      <w:r w:rsidR="00657E4D">
        <w:rPr>
          <w:rFonts w:ascii="Calibri" w:hAnsi="Calibri" w:cs="Calibri"/>
          <w:sz w:val="22"/>
          <w:szCs w:val="22"/>
        </w:rPr>
        <w:t xml:space="preserve">e challenging. The proportion of vacant units in the </w:t>
      </w:r>
      <w:r w:rsidR="003161C9">
        <w:rPr>
          <w:rFonts w:ascii="Calibri" w:hAnsi="Calibri" w:cs="Calibri"/>
          <w:sz w:val="22"/>
          <w:szCs w:val="22"/>
        </w:rPr>
        <w:t>city centre</w:t>
      </w:r>
      <w:r w:rsidR="00657E4D">
        <w:rPr>
          <w:rFonts w:ascii="Calibri" w:hAnsi="Calibri" w:cs="Calibri"/>
          <w:sz w:val="22"/>
          <w:szCs w:val="22"/>
        </w:rPr>
        <w:t xml:space="preserve"> </w:t>
      </w:r>
      <w:r>
        <w:rPr>
          <w:rFonts w:ascii="Calibri" w:hAnsi="Calibri" w:cs="Calibri"/>
          <w:sz w:val="22"/>
          <w:szCs w:val="22"/>
        </w:rPr>
        <w:t>increase</w:t>
      </w:r>
      <w:r w:rsidR="00657E4D">
        <w:rPr>
          <w:rFonts w:ascii="Calibri" w:hAnsi="Calibri" w:cs="Calibri"/>
          <w:sz w:val="22"/>
          <w:szCs w:val="22"/>
        </w:rPr>
        <w:t xml:space="preserve">d in comparison to the previous year, rising </w:t>
      </w:r>
      <w:r w:rsidR="00C62FE8">
        <w:rPr>
          <w:rFonts w:ascii="Calibri" w:hAnsi="Calibri" w:cs="Calibri"/>
          <w:sz w:val="22"/>
          <w:szCs w:val="22"/>
        </w:rPr>
        <w:t xml:space="preserve">from 2% </w:t>
      </w:r>
      <w:r w:rsidR="00657E4D">
        <w:rPr>
          <w:rFonts w:ascii="Calibri" w:hAnsi="Calibri" w:cs="Calibri"/>
          <w:sz w:val="22"/>
          <w:szCs w:val="22"/>
        </w:rPr>
        <w:t>to</w:t>
      </w:r>
      <w:r w:rsidR="00D45D5E">
        <w:rPr>
          <w:rFonts w:ascii="Calibri" w:hAnsi="Calibri" w:cs="Calibri"/>
          <w:sz w:val="22"/>
          <w:szCs w:val="22"/>
        </w:rPr>
        <w:t xml:space="preserve"> 6</w:t>
      </w:r>
      <w:r>
        <w:rPr>
          <w:rFonts w:ascii="Calibri" w:hAnsi="Calibri" w:cs="Calibri"/>
          <w:sz w:val="22"/>
          <w:szCs w:val="22"/>
        </w:rPr>
        <w:t>%</w:t>
      </w:r>
      <w:r w:rsidR="00657E4D">
        <w:rPr>
          <w:rFonts w:ascii="Calibri" w:hAnsi="Calibri" w:cs="Calibri"/>
          <w:sz w:val="22"/>
          <w:szCs w:val="22"/>
        </w:rPr>
        <w:t>. However, compared with</w:t>
      </w:r>
      <w:r>
        <w:rPr>
          <w:rFonts w:ascii="Calibri" w:hAnsi="Calibri" w:cs="Calibri"/>
          <w:sz w:val="22"/>
          <w:szCs w:val="22"/>
        </w:rPr>
        <w:t xml:space="preserve"> n</w:t>
      </w:r>
      <w:r w:rsidR="00336F6C">
        <w:rPr>
          <w:rFonts w:ascii="Calibri" w:hAnsi="Calibri" w:cs="Calibri"/>
          <w:sz w:val="22"/>
          <w:szCs w:val="22"/>
        </w:rPr>
        <w:t>ational vacancy rates for city c</w:t>
      </w:r>
      <w:r>
        <w:rPr>
          <w:rFonts w:ascii="Calibri" w:hAnsi="Calibri" w:cs="Calibri"/>
          <w:sz w:val="22"/>
          <w:szCs w:val="22"/>
        </w:rPr>
        <w:t xml:space="preserve">entres this is still relatively low. </w:t>
      </w:r>
      <w:r w:rsidRPr="000B1AB3">
        <w:rPr>
          <w:rFonts w:ascii="Calibri" w:hAnsi="Calibri" w:cs="Calibri"/>
          <w:sz w:val="22"/>
          <w:szCs w:val="22"/>
        </w:rPr>
        <w:t xml:space="preserve">There has </w:t>
      </w:r>
      <w:r w:rsidR="00C62FE8">
        <w:rPr>
          <w:rFonts w:ascii="Calibri" w:hAnsi="Calibri" w:cs="Calibri"/>
          <w:sz w:val="22"/>
          <w:szCs w:val="22"/>
        </w:rPr>
        <w:t xml:space="preserve">also </w:t>
      </w:r>
      <w:r w:rsidRPr="000B1AB3">
        <w:rPr>
          <w:rFonts w:ascii="Calibri" w:hAnsi="Calibri" w:cs="Calibri"/>
          <w:sz w:val="22"/>
          <w:szCs w:val="22"/>
        </w:rPr>
        <w:t xml:space="preserve">been a slight increase in vacancies in </w:t>
      </w:r>
      <w:proofErr w:type="spellStart"/>
      <w:r w:rsidRPr="000B1AB3">
        <w:rPr>
          <w:rFonts w:ascii="Calibri" w:hAnsi="Calibri" w:cs="Calibri"/>
          <w:sz w:val="22"/>
          <w:szCs w:val="22"/>
        </w:rPr>
        <w:t>Headington</w:t>
      </w:r>
      <w:proofErr w:type="spellEnd"/>
      <w:r w:rsidR="00C62FE8">
        <w:rPr>
          <w:rFonts w:ascii="Calibri" w:hAnsi="Calibri" w:cs="Calibri"/>
          <w:sz w:val="22"/>
          <w:szCs w:val="22"/>
        </w:rPr>
        <w:t xml:space="preserve"> district centre</w:t>
      </w:r>
      <w:r w:rsidRPr="000B1AB3">
        <w:rPr>
          <w:rFonts w:ascii="Calibri" w:hAnsi="Calibri" w:cs="Calibri"/>
          <w:sz w:val="22"/>
          <w:szCs w:val="22"/>
        </w:rPr>
        <w:t xml:space="preserve">, whilst </w:t>
      </w:r>
      <w:proofErr w:type="spellStart"/>
      <w:r w:rsidRPr="000B1AB3">
        <w:rPr>
          <w:rFonts w:ascii="Calibri" w:hAnsi="Calibri" w:cs="Calibri"/>
          <w:sz w:val="22"/>
          <w:szCs w:val="22"/>
        </w:rPr>
        <w:t>Cowley</w:t>
      </w:r>
      <w:proofErr w:type="spellEnd"/>
      <w:r w:rsidRPr="000B1AB3">
        <w:rPr>
          <w:rFonts w:ascii="Calibri" w:hAnsi="Calibri" w:cs="Calibri"/>
          <w:sz w:val="22"/>
          <w:szCs w:val="22"/>
        </w:rPr>
        <w:t xml:space="preserve"> Templar Square</w:t>
      </w:r>
      <w:r w:rsidR="00C62FE8">
        <w:rPr>
          <w:rFonts w:ascii="Calibri" w:hAnsi="Calibri" w:cs="Calibri"/>
          <w:sz w:val="22"/>
          <w:szCs w:val="22"/>
        </w:rPr>
        <w:t>’s</w:t>
      </w:r>
      <w:r w:rsidRPr="000B1AB3">
        <w:rPr>
          <w:rFonts w:ascii="Calibri" w:hAnsi="Calibri" w:cs="Calibri"/>
          <w:sz w:val="22"/>
          <w:szCs w:val="22"/>
        </w:rPr>
        <w:t xml:space="preserve"> levels have increased significantly from </w:t>
      </w:r>
      <w:r w:rsidR="00657E4D">
        <w:rPr>
          <w:rFonts w:ascii="Calibri" w:hAnsi="Calibri" w:cs="Calibri"/>
          <w:sz w:val="22"/>
          <w:szCs w:val="22"/>
        </w:rPr>
        <w:t>the previous</w:t>
      </w:r>
      <w:r w:rsidRPr="000B1AB3">
        <w:rPr>
          <w:rFonts w:ascii="Calibri" w:hAnsi="Calibri" w:cs="Calibri"/>
          <w:sz w:val="22"/>
          <w:szCs w:val="22"/>
        </w:rPr>
        <w:t xml:space="preserve"> year to 10%</w:t>
      </w:r>
      <w:r>
        <w:rPr>
          <w:rFonts w:ascii="Calibri" w:hAnsi="Calibri" w:cs="Calibri"/>
          <w:sz w:val="22"/>
          <w:szCs w:val="22"/>
        </w:rPr>
        <w:t>.</w:t>
      </w:r>
      <w:r w:rsidRPr="000B1AB3">
        <w:rPr>
          <w:rFonts w:ascii="Calibri" w:hAnsi="Calibri" w:cs="Calibri"/>
          <w:sz w:val="22"/>
          <w:szCs w:val="22"/>
        </w:rPr>
        <w:t xml:space="preserve"> </w:t>
      </w:r>
      <w:r w:rsidR="00657E4D">
        <w:rPr>
          <w:rFonts w:ascii="Calibri" w:hAnsi="Calibri" w:cs="Calibri"/>
          <w:sz w:val="22"/>
          <w:szCs w:val="22"/>
        </w:rPr>
        <w:t xml:space="preserve">Summertown and </w:t>
      </w:r>
      <w:proofErr w:type="spellStart"/>
      <w:r w:rsidR="00657E4D">
        <w:rPr>
          <w:rFonts w:ascii="Calibri" w:hAnsi="Calibri" w:cs="Calibri"/>
          <w:sz w:val="22"/>
          <w:szCs w:val="22"/>
        </w:rPr>
        <w:t>Cowley</w:t>
      </w:r>
      <w:proofErr w:type="spellEnd"/>
      <w:r w:rsidR="00657E4D">
        <w:rPr>
          <w:rFonts w:ascii="Calibri" w:hAnsi="Calibri" w:cs="Calibri"/>
          <w:sz w:val="22"/>
          <w:szCs w:val="22"/>
        </w:rPr>
        <w:t xml:space="preserve"> Road</w:t>
      </w:r>
      <w:r>
        <w:rPr>
          <w:rFonts w:ascii="Calibri" w:hAnsi="Calibri" w:cs="Calibri"/>
          <w:sz w:val="22"/>
          <w:szCs w:val="22"/>
        </w:rPr>
        <w:t xml:space="preserve"> both show very low vacancy rates of only 2%.</w:t>
      </w:r>
    </w:p>
    <w:p w:rsidR="00657E4D" w:rsidRDefault="00657E4D" w:rsidP="00AD73A3">
      <w:pPr>
        <w:spacing w:after="200" w:line="276" w:lineRule="auto"/>
        <w:jc w:val="both"/>
        <w:rPr>
          <w:rFonts w:ascii="Calibri" w:eastAsia="Calibri" w:hAnsi="Calibri" w:cs="Calibri"/>
          <w:b/>
          <w:color w:val="244061" w:themeColor="accent1" w:themeShade="80"/>
          <w:sz w:val="22"/>
          <w:szCs w:val="22"/>
        </w:rPr>
      </w:pPr>
    </w:p>
    <w:p w:rsidR="00657E4D" w:rsidRDefault="00657E4D" w:rsidP="00AD73A3">
      <w:pPr>
        <w:spacing w:after="200" w:line="276" w:lineRule="auto"/>
        <w:jc w:val="both"/>
        <w:rPr>
          <w:rFonts w:ascii="Calibri" w:eastAsia="Calibri" w:hAnsi="Calibri" w:cs="Calibri"/>
          <w:b/>
          <w:color w:val="244061" w:themeColor="accent1" w:themeShade="80"/>
          <w:sz w:val="22"/>
          <w:szCs w:val="22"/>
        </w:rPr>
      </w:pPr>
    </w:p>
    <w:p w:rsidR="00AD73A3" w:rsidRDefault="00100981" w:rsidP="00AD73A3">
      <w:pPr>
        <w:spacing w:after="200" w:line="276" w:lineRule="auto"/>
        <w:jc w:val="both"/>
        <w:rPr>
          <w:rFonts w:ascii="Calibri" w:eastAsia="Calibri" w:hAnsi="Calibri" w:cs="Calibri"/>
          <w:b/>
          <w:color w:val="244061" w:themeColor="accent1" w:themeShade="80"/>
          <w:sz w:val="22"/>
          <w:szCs w:val="22"/>
        </w:rPr>
      </w:pPr>
      <w:r w:rsidRPr="00AD73A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83168" behindDoc="0" locked="0" layoutInCell="1" allowOverlap="1" wp14:anchorId="18BB79BB" wp14:editId="6B39B06E">
                <wp:simplePos x="0" y="0"/>
                <wp:positionH relativeFrom="column">
                  <wp:posOffset>3470910</wp:posOffset>
                </wp:positionH>
                <wp:positionV relativeFrom="paragraph">
                  <wp:posOffset>-593090</wp:posOffset>
                </wp:positionV>
                <wp:extent cx="2427605" cy="352425"/>
                <wp:effectExtent l="0" t="0" r="0" b="9525"/>
                <wp:wrapNone/>
                <wp:docPr id="92" name="Text Box 9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2" o:spid="_x0000_s1039" type="#_x0000_t202" style="position:absolute;left:0;text-align:left;margin-left:273.3pt;margin-top:-46.7pt;width:191.15pt;height:27.7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" fillcolor="window" stroked="f" strokeweight=".5pt">
                <v:textbo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v:textbox>
              </v:shape>
            </w:pict>
          </mc:Fallback>
        </mc:AlternateContent>
      </w:r>
      <w:r w:rsidR="00AD73A3">
        <w:rPr>
          <w:rFonts w:ascii="Calibri" w:eastAsia="Calibri" w:hAnsi="Calibri" w:cs="Calibri"/>
          <w:b/>
          <w:color w:val="244061" w:themeColor="accent1" w:themeShade="80"/>
          <w:sz w:val="22"/>
          <w:szCs w:val="22"/>
        </w:rPr>
        <w:t>Vitality</w:t>
      </w:r>
    </w:p>
    <w:tbl>
      <w:tblPr>
        <w:tblStyle w:val="TableGrid"/>
        <w:tblW w:w="0" w:type="auto"/>
        <w:tblLook w:val="04A0" w:firstRow="1" w:lastRow="0" w:firstColumn="1" w:lastColumn="0" w:noHBand="0" w:noVBand="1"/>
      </w:tblPr>
      <w:tblGrid>
        <w:gridCol w:w="2235"/>
        <w:gridCol w:w="1401"/>
        <w:gridCol w:w="1401"/>
        <w:gridCol w:w="1402"/>
        <w:gridCol w:w="1401"/>
        <w:gridCol w:w="1402"/>
      </w:tblGrid>
      <w:tr w:rsidR="00AD73A3" w:rsidRPr="00BE485E" w:rsidTr="003F1F4E">
        <w:tc>
          <w:tcPr>
            <w:tcW w:w="2235" w:type="dxa"/>
            <w:tcBorders>
              <w:top w:val="nil"/>
              <w:left w:val="nil"/>
              <w:bottom w:val="single" w:sz="4" w:space="0" w:color="215868" w:themeColor="accent5" w:themeShade="80"/>
              <w:right w:val="single" w:sz="4" w:space="0" w:color="215868" w:themeColor="accent5" w:themeShade="80"/>
            </w:tcBorders>
          </w:tcPr>
          <w:p w:rsidR="00AD73A3" w:rsidRPr="00E7018D" w:rsidRDefault="00AD73A3" w:rsidP="007B632F">
            <w:pPr>
              <w:rPr>
                <w:rFonts w:asciiTheme="minorHAnsi" w:hAnsiTheme="minorHAnsi" w:cstheme="minorHAnsi"/>
                <w:sz w:val="20"/>
              </w:rPr>
            </w:pP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Local Plan Target for A1</w:t>
            </w:r>
          </w:p>
          <w:p w:rsidR="00E8028F" w:rsidRPr="00E7018D" w:rsidRDefault="00E8028F" w:rsidP="007B632F">
            <w:pPr>
              <w:jc w:val="center"/>
              <w:rPr>
                <w:rFonts w:asciiTheme="minorHAnsi" w:hAnsiTheme="minorHAnsi" w:cstheme="minorHAnsi"/>
                <w:b/>
                <w:color w:val="404040" w:themeColor="text1" w:themeTint="BF"/>
                <w:sz w:val="20"/>
              </w:rPr>
            </w:pPr>
            <w:r>
              <w:rPr>
                <w:rFonts w:asciiTheme="minorHAnsi" w:hAnsiTheme="minorHAnsi" w:cstheme="minorHAnsi"/>
                <w:color w:val="404040" w:themeColor="text1" w:themeTint="BF"/>
                <w:sz w:val="18"/>
              </w:rPr>
              <w:t>(Retail)</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657E4D" w:rsidRPr="00657E4D" w:rsidRDefault="00E8028F" w:rsidP="00E8028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 xml:space="preserve">Actual </w:t>
            </w:r>
            <w:r w:rsidR="00AD73A3" w:rsidRPr="00E7018D">
              <w:rPr>
                <w:rFonts w:asciiTheme="minorHAnsi" w:hAnsiTheme="minorHAnsi" w:cstheme="minorHAnsi"/>
                <w:b/>
                <w:color w:val="404040" w:themeColor="text1" w:themeTint="BF"/>
                <w:sz w:val="20"/>
              </w:rPr>
              <w:t>A1</w:t>
            </w:r>
            <w:r w:rsidR="00657E4D">
              <w:rPr>
                <w:rFonts w:asciiTheme="minorHAnsi" w:hAnsiTheme="minorHAnsi" w:cstheme="minorHAnsi"/>
                <w:b/>
                <w:color w:val="404040" w:themeColor="text1" w:themeTint="BF"/>
                <w:sz w:val="20"/>
              </w:rPr>
              <w:t xml:space="preserve"> </w:t>
            </w:r>
            <w:r w:rsidR="00657E4D">
              <w:rPr>
                <w:rFonts w:asciiTheme="minorHAnsi" w:hAnsiTheme="minorHAnsi" w:cstheme="minorHAnsi"/>
                <w:color w:val="404040" w:themeColor="text1" w:themeTint="BF"/>
                <w:sz w:val="18"/>
              </w:rPr>
              <w:t>(Retail)</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E8028F" w:rsidP="00E8028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 xml:space="preserve">Actual </w:t>
            </w:r>
            <w:r w:rsidR="00AD73A3" w:rsidRPr="00E7018D">
              <w:rPr>
                <w:rFonts w:asciiTheme="minorHAnsi" w:hAnsiTheme="minorHAnsi" w:cstheme="minorHAnsi"/>
                <w:b/>
                <w:color w:val="404040" w:themeColor="text1" w:themeTint="BF"/>
                <w:sz w:val="20"/>
              </w:rPr>
              <w:t>A2</w:t>
            </w:r>
            <w:r>
              <w:rPr>
                <w:rFonts w:asciiTheme="minorHAnsi" w:hAnsiTheme="minorHAnsi" w:cstheme="minorHAnsi"/>
                <w:color w:val="404040" w:themeColor="text1" w:themeTint="BF"/>
                <w:sz w:val="20"/>
              </w:rPr>
              <w:t xml:space="preserve"> </w:t>
            </w:r>
            <w:r>
              <w:rPr>
                <w:rFonts w:asciiTheme="minorHAnsi" w:hAnsiTheme="minorHAnsi" w:cstheme="minorHAnsi"/>
                <w:color w:val="404040" w:themeColor="text1" w:themeTint="BF"/>
                <w:sz w:val="18"/>
              </w:rPr>
              <w:t>(Financial &amp; professional services)</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Actual </w:t>
            </w:r>
          </w:p>
          <w:p w:rsidR="00AD73A3"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A3, A4, A5</w:t>
            </w:r>
          </w:p>
          <w:p w:rsidR="00E8028F" w:rsidRPr="00E8028F" w:rsidRDefault="00E8028F" w:rsidP="007B632F">
            <w:pPr>
              <w:jc w:val="center"/>
              <w:rPr>
                <w:rFonts w:asciiTheme="minorHAnsi" w:hAnsiTheme="minorHAnsi" w:cstheme="minorHAnsi"/>
                <w:color w:val="404040" w:themeColor="text1" w:themeTint="BF"/>
                <w:sz w:val="18"/>
              </w:rPr>
            </w:pPr>
            <w:r>
              <w:rPr>
                <w:rFonts w:asciiTheme="minorHAnsi" w:hAnsiTheme="minorHAnsi" w:cstheme="minorHAnsi"/>
                <w:color w:val="404040" w:themeColor="text1" w:themeTint="BF"/>
                <w:sz w:val="18"/>
              </w:rPr>
              <w:t>(Food &amp; drink)</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 xml:space="preserve">Other </w:t>
            </w:r>
          </w:p>
          <w:p w:rsidR="00AD73A3" w:rsidRDefault="00E8028F" w:rsidP="007B632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U</w:t>
            </w:r>
            <w:r w:rsidR="00AD73A3" w:rsidRPr="00E7018D">
              <w:rPr>
                <w:rFonts w:asciiTheme="minorHAnsi" w:hAnsiTheme="minorHAnsi" w:cstheme="minorHAnsi"/>
                <w:b/>
                <w:color w:val="404040" w:themeColor="text1" w:themeTint="BF"/>
                <w:sz w:val="20"/>
              </w:rPr>
              <w:t>ses</w:t>
            </w:r>
          </w:p>
          <w:p w:rsidR="00E8028F" w:rsidRPr="00E8028F" w:rsidRDefault="00E8028F" w:rsidP="00E8028F">
            <w:pPr>
              <w:jc w:val="center"/>
              <w:rPr>
                <w:rFonts w:asciiTheme="minorHAnsi" w:hAnsiTheme="minorHAnsi" w:cstheme="minorHAnsi"/>
                <w:color w:val="404040" w:themeColor="text1" w:themeTint="BF"/>
                <w:sz w:val="18"/>
              </w:rPr>
            </w:pPr>
            <w:r>
              <w:rPr>
                <w:rFonts w:asciiTheme="minorHAnsi" w:hAnsiTheme="minorHAnsi" w:cstheme="minorHAnsi"/>
                <w:color w:val="404040" w:themeColor="text1" w:themeTint="BF"/>
                <w:sz w:val="18"/>
              </w:rPr>
              <w:t>(Not falling under Class A)</w:t>
            </w:r>
          </w:p>
        </w:tc>
      </w:tr>
      <w:tr w:rsidR="00AD73A3" w:rsidRPr="00BE485E" w:rsidTr="003F1F4E">
        <w:tc>
          <w:tcPr>
            <w:tcW w:w="223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AD73A3" w:rsidP="007B632F">
            <w:pPr>
              <w:rPr>
                <w:rFonts w:asciiTheme="minorHAnsi" w:hAnsiTheme="minorHAnsi" w:cstheme="minorHAnsi"/>
                <w:b/>
                <w:color w:val="404040" w:themeColor="text1" w:themeTint="BF"/>
                <w:sz w:val="20"/>
              </w:rPr>
            </w:pPr>
            <w:r w:rsidRPr="00E8028F">
              <w:rPr>
                <w:rFonts w:asciiTheme="minorHAnsi" w:hAnsiTheme="minorHAnsi" w:cstheme="minorHAnsi"/>
                <w:b/>
                <w:color w:val="404040" w:themeColor="text1" w:themeTint="BF"/>
                <w:sz w:val="20"/>
              </w:rPr>
              <w:t>City Centre</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Pr="00E7018D" w:rsidRDefault="009A74C4" w:rsidP="009A74C4">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75%</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77.73%</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9.48%</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11.38%</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1.41%</w:t>
            </w:r>
          </w:p>
        </w:tc>
      </w:tr>
      <w:tr w:rsidR="00AD73A3" w:rsidRPr="00BE485E" w:rsidTr="003F1F4E">
        <w:tc>
          <w:tcPr>
            <w:tcW w:w="223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AD73A3" w:rsidP="007B632F">
            <w:pPr>
              <w:rPr>
                <w:rFonts w:asciiTheme="minorHAnsi" w:hAnsiTheme="minorHAnsi" w:cstheme="minorHAnsi"/>
                <w:b/>
                <w:color w:val="404040" w:themeColor="text1" w:themeTint="BF"/>
                <w:sz w:val="20"/>
              </w:rPr>
            </w:pPr>
            <w:proofErr w:type="spellStart"/>
            <w:r w:rsidRPr="00E8028F">
              <w:rPr>
                <w:rFonts w:asciiTheme="minorHAnsi" w:hAnsiTheme="minorHAnsi" w:cstheme="minorHAnsi"/>
                <w:b/>
                <w:color w:val="404040" w:themeColor="text1" w:themeTint="BF"/>
                <w:sz w:val="20"/>
              </w:rPr>
              <w:t>Cowley</w:t>
            </w:r>
            <w:proofErr w:type="spellEnd"/>
            <w:r w:rsidRPr="00E8028F">
              <w:rPr>
                <w:rFonts w:asciiTheme="minorHAnsi" w:hAnsiTheme="minorHAnsi" w:cstheme="minorHAnsi"/>
                <w:b/>
                <w:color w:val="404040" w:themeColor="text1" w:themeTint="BF"/>
                <w:sz w:val="20"/>
              </w:rPr>
              <w:t xml:space="preserve"> Road</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65%</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50.33%</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9.93%</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32.47%</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7.27%</w:t>
            </w:r>
          </w:p>
        </w:tc>
      </w:tr>
      <w:tr w:rsidR="00AD73A3" w:rsidRPr="00BE485E" w:rsidTr="003F1F4E">
        <w:tc>
          <w:tcPr>
            <w:tcW w:w="223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AD73A3" w:rsidP="007B632F">
            <w:pPr>
              <w:rPr>
                <w:rFonts w:asciiTheme="minorHAnsi" w:hAnsiTheme="minorHAnsi" w:cstheme="minorHAnsi"/>
                <w:b/>
                <w:color w:val="404040" w:themeColor="text1" w:themeTint="BF"/>
                <w:sz w:val="20"/>
              </w:rPr>
            </w:pPr>
            <w:proofErr w:type="spellStart"/>
            <w:r w:rsidRPr="00E8028F">
              <w:rPr>
                <w:rFonts w:asciiTheme="minorHAnsi" w:hAnsiTheme="minorHAnsi" w:cstheme="minorHAnsi"/>
                <w:b/>
                <w:color w:val="404040" w:themeColor="text1" w:themeTint="BF"/>
                <w:sz w:val="20"/>
              </w:rPr>
              <w:t>Cowley</w:t>
            </w:r>
            <w:proofErr w:type="spellEnd"/>
            <w:r w:rsidRPr="00E8028F">
              <w:rPr>
                <w:rFonts w:asciiTheme="minorHAnsi" w:hAnsiTheme="minorHAnsi" w:cstheme="minorHAnsi"/>
                <w:b/>
                <w:color w:val="404040" w:themeColor="text1" w:themeTint="BF"/>
                <w:sz w:val="20"/>
              </w:rPr>
              <w:t xml:space="preserve"> Templar Square</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65%</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74.73%</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12.09%</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8.80%</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4.40%</w:t>
            </w:r>
          </w:p>
        </w:tc>
      </w:tr>
      <w:tr w:rsidR="00AD73A3" w:rsidRPr="00BE485E" w:rsidTr="003F1F4E">
        <w:tc>
          <w:tcPr>
            <w:tcW w:w="223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AD73A3" w:rsidP="007B632F">
            <w:pPr>
              <w:rPr>
                <w:rFonts w:asciiTheme="minorHAnsi" w:hAnsiTheme="minorHAnsi" w:cstheme="minorHAnsi"/>
                <w:b/>
                <w:color w:val="404040" w:themeColor="text1" w:themeTint="BF"/>
                <w:sz w:val="20"/>
              </w:rPr>
            </w:pPr>
            <w:proofErr w:type="spellStart"/>
            <w:r w:rsidRPr="00E8028F">
              <w:rPr>
                <w:rFonts w:asciiTheme="minorHAnsi" w:hAnsiTheme="minorHAnsi" w:cstheme="minorHAnsi"/>
                <w:b/>
                <w:color w:val="404040" w:themeColor="text1" w:themeTint="BF"/>
                <w:sz w:val="20"/>
              </w:rPr>
              <w:t>Headington</w:t>
            </w:r>
            <w:proofErr w:type="spellEnd"/>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65%</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64.29%</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16.07%</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11.61%</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8.03%</w:t>
            </w:r>
          </w:p>
        </w:tc>
      </w:tr>
      <w:tr w:rsidR="00AD73A3" w:rsidRPr="00BE485E" w:rsidTr="003F1F4E">
        <w:tc>
          <w:tcPr>
            <w:tcW w:w="223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8028F" w:rsidRDefault="00AD73A3" w:rsidP="007B632F">
            <w:pPr>
              <w:rPr>
                <w:rFonts w:asciiTheme="minorHAnsi" w:hAnsiTheme="minorHAnsi" w:cstheme="minorHAnsi"/>
                <w:b/>
                <w:color w:val="404040" w:themeColor="text1" w:themeTint="BF"/>
                <w:sz w:val="20"/>
              </w:rPr>
            </w:pPr>
            <w:r w:rsidRPr="00E8028F">
              <w:rPr>
                <w:rFonts w:asciiTheme="minorHAnsi" w:hAnsiTheme="minorHAnsi" w:cstheme="minorHAnsi"/>
                <w:b/>
                <w:color w:val="404040" w:themeColor="text1" w:themeTint="BF"/>
                <w:sz w:val="20"/>
              </w:rPr>
              <w:t>Summertown</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tcPr>
          <w:p w:rsidR="00AD73A3" w:rsidRPr="00E7018D" w:rsidRDefault="00AD73A3" w:rsidP="007B632F">
            <w:pPr>
              <w:jc w:val="center"/>
              <w:rPr>
                <w:rFonts w:asciiTheme="minorHAnsi" w:hAnsiTheme="minorHAnsi" w:cstheme="minorHAnsi"/>
                <w:b/>
                <w:color w:val="404040" w:themeColor="text1" w:themeTint="BF"/>
                <w:sz w:val="20"/>
              </w:rPr>
            </w:pPr>
            <w:r w:rsidRPr="00E7018D">
              <w:rPr>
                <w:rFonts w:asciiTheme="minorHAnsi" w:hAnsiTheme="minorHAnsi" w:cstheme="minorHAnsi"/>
                <w:b/>
                <w:color w:val="404040" w:themeColor="text1" w:themeTint="BF"/>
                <w:sz w:val="20"/>
              </w:rPr>
              <w:t>65%</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64.00%</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21.00%</w:t>
            </w:r>
          </w:p>
        </w:tc>
        <w:tc>
          <w:tcPr>
            <w:tcW w:w="140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11.00%</w:t>
            </w:r>
          </w:p>
        </w:tc>
        <w:tc>
          <w:tcPr>
            <w:tcW w:w="140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rsidR="00AD73A3" w:rsidRPr="00E7018D" w:rsidRDefault="00AD73A3" w:rsidP="007B632F">
            <w:pPr>
              <w:jc w:val="center"/>
              <w:rPr>
                <w:rFonts w:asciiTheme="minorHAnsi" w:hAnsiTheme="minorHAnsi" w:cstheme="minorHAnsi"/>
                <w:color w:val="404040" w:themeColor="text1" w:themeTint="BF"/>
                <w:sz w:val="20"/>
              </w:rPr>
            </w:pPr>
            <w:r w:rsidRPr="00E7018D">
              <w:rPr>
                <w:rFonts w:asciiTheme="minorHAnsi" w:hAnsiTheme="minorHAnsi" w:cstheme="minorHAnsi"/>
                <w:color w:val="404040" w:themeColor="text1" w:themeTint="BF"/>
                <w:sz w:val="20"/>
              </w:rPr>
              <w:t>4.00%</w:t>
            </w:r>
          </w:p>
        </w:tc>
      </w:tr>
    </w:tbl>
    <w:p w:rsidR="00E7018D" w:rsidRPr="00E7018D" w:rsidRDefault="00E7018D" w:rsidP="00AD73A3">
      <w:pPr>
        <w:jc w:val="center"/>
        <w:rPr>
          <w:rFonts w:ascii="Calibri" w:hAnsi="Calibri" w:cs="Calibri"/>
          <w:b/>
          <w:sz w:val="4"/>
          <w:szCs w:val="4"/>
        </w:rPr>
      </w:pPr>
    </w:p>
    <w:p w:rsidR="005C674B" w:rsidRPr="005C674B" w:rsidRDefault="005C674B" w:rsidP="00AD73A3">
      <w:pPr>
        <w:jc w:val="center"/>
        <w:rPr>
          <w:rFonts w:ascii="Calibri" w:hAnsi="Calibri" w:cs="Calibri"/>
          <w:b/>
          <w:sz w:val="4"/>
          <w:szCs w:val="4"/>
        </w:rPr>
      </w:pPr>
    </w:p>
    <w:p w:rsidR="00E7018D" w:rsidRDefault="005C674B" w:rsidP="00657E4D">
      <w:pPr>
        <w:jc w:val="center"/>
        <w:rPr>
          <w:rFonts w:ascii="Calibri" w:hAnsi="Calibri" w:cs="Calibri"/>
          <w:sz w:val="20"/>
        </w:rPr>
      </w:pPr>
      <w:r w:rsidRPr="005C674B">
        <w:rPr>
          <w:rFonts w:ascii="Calibri" w:hAnsi="Calibri" w:cs="Calibri"/>
          <w:b/>
          <w:sz w:val="20"/>
        </w:rPr>
        <w:t>Figure 8</w:t>
      </w:r>
      <w:r w:rsidR="00AD73A3" w:rsidRPr="005C674B">
        <w:rPr>
          <w:rFonts w:ascii="Calibri" w:hAnsi="Calibri" w:cs="Calibri"/>
          <w:sz w:val="20"/>
        </w:rPr>
        <w:t xml:space="preserve">: </w:t>
      </w:r>
      <w:r w:rsidR="00E8028F">
        <w:rPr>
          <w:rFonts w:ascii="Calibri" w:hAnsi="Calibri" w:cs="Calibri"/>
          <w:sz w:val="20"/>
        </w:rPr>
        <w:t>Proportion</w:t>
      </w:r>
      <w:r w:rsidR="00657E4D">
        <w:rPr>
          <w:rFonts w:ascii="Calibri" w:hAnsi="Calibri" w:cs="Calibri"/>
          <w:sz w:val="20"/>
        </w:rPr>
        <w:t xml:space="preserve"> of Class A uses on designated frontages</w:t>
      </w:r>
      <w:r w:rsidR="00D57483">
        <w:rPr>
          <w:rFonts w:ascii="Calibri" w:hAnsi="Calibri" w:cs="Calibri"/>
          <w:sz w:val="20"/>
        </w:rPr>
        <w:t xml:space="preserve"> (Retail Survey February 2014)</w:t>
      </w:r>
    </w:p>
    <w:p w:rsidR="00657E4D" w:rsidRPr="00657E4D" w:rsidRDefault="00657E4D" w:rsidP="00657E4D">
      <w:pPr>
        <w:jc w:val="center"/>
        <w:rPr>
          <w:rFonts w:ascii="Calibri" w:hAnsi="Calibri" w:cs="Calibri"/>
          <w:sz w:val="20"/>
        </w:rPr>
      </w:pPr>
    </w:p>
    <w:p w:rsidR="00AD73A3" w:rsidRPr="00AD73A3" w:rsidRDefault="00AD73A3" w:rsidP="004335B5">
      <w:pPr>
        <w:numPr>
          <w:ilvl w:val="0"/>
          <w:numId w:val="8"/>
        </w:numPr>
        <w:spacing w:after="200" w:line="276" w:lineRule="auto"/>
        <w:jc w:val="both"/>
        <w:rPr>
          <w:rFonts w:ascii="Calibri" w:eastAsia="Calibri" w:hAnsi="Calibri" w:cs="Calibri"/>
          <w:color w:val="000000"/>
          <w:sz w:val="22"/>
          <w:szCs w:val="22"/>
        </w:rPr>
      </w:pPr>
      <w:r w:rsidRPr="00AD73A3">
        <w:rPr>
          <w:rFonts w:ascii="Calibri" w:hAnsi="Calibri" w:cs="Calibri"/>
          <w:sz w:val="22"/>
          <w:szCs w:val="22"/>
        </w:rPr>
        <w:t xml:space="preserve">The </w:t>
      </w:r>
      <w:r w:rsidR="00E8028F">
        <w:rPr>
          <w:rFonts w:ascii="Calibri" w:hAnsi="Calibri" w:cs="Calibri"/>
          <w:sz w:val="22"/>
          <w:szCs w:val="22"/>
        </w:rPr>
        <w:t>range</w:t>
      </w:r>
      <w:r w:rsidRPr="00AD73A3">
        <w:rPr>
          <w:rFonts w:ascii="Calibri" w:hAnsi="Calibri" w:cs="Calibri"/>
          <w:sz w:val="22"/>
          <w:szCs w:val="22"/>
        </w:rPr>
        <w:t xml:space="preserve"> of uses is another important</w:t>
      </w:r>
      <w:r w:rsidR="00657E4D">
        <w:rPr>
          <w:rFonts w:ascii="Calibri" w:hAnsi="Calibri" w:cs="Calibri"/>
          <w:sz w:val="22"/>
          <w:szCs w:val="22"/>
        </w:rPr>
        <w:t xml:space="preserve"> measure</w:t>
      </w:r>
      <w:r w:rsidRPr="00AD73A3">
        <w:rPr>
          <w:rFonts w:ascii="Calibri" w:hAnsi="Calibri" w:cs="Calibri"/>
          <w:sz w:val="22"/>
          <w:szCs w:val="22"/>
        </w:rPr>
        <w:t xml:space="preserve"> of the vitality and viability of </w:t>
      </w:r>
      <w:r w:rsidR="003F1F4E">
        <w:rPr>
          <w:rFonts w:ascii="Calibri" w:hAnsi="Calibri" w:cs="Calibri"/>
          <w:sz w:val="22"/>
          <w:szCs w:val="22"/>
        </w:rPr>
        <w:t xml:space="preserve">city and district </w:t>
      </w:r>
      <w:r w:rsidRPr="00AD73A3">
        <w:rPr>
          <w:rFonts w:ascii="Calibri" w:hAnsi="Calibri" w:cs="Calibri"/>
          <w:sz w:val="22"/>
          <w:szCs w:val="22"/>
        </w:rPr>
        <w:t xml:space="preserve">centres. </w:t>
      </w:r>
      <w:r w:rsidR="00657E4D">
        <w:rPr>
          <w:rFonts w:ascii="Calibri" w:hAnsi="Calibri" w:cs="Calibri"/>
          <w:sz w:val="22"/>
          <w:szCs w:val="22"/>
        </w:rPr>
        <w:t xml:space="preserve">The </w:t>
      </w:r>
      <w:r w:rsidR="003161C9">
        <w:rPr>
          <w:rFonts w:ascii="Calibri" w:hAnsi="Calibri" w:cs="Calibri"/>
          <w:sz w:val="22"/>
          <w:szCs w:val="22"/>
        </w:rPr>
        <w:t>city c</w:t>
      </w:r>
      <w:r w:rsidR="003161C9" w:rsidRPr="00AD73A3">
        <w:rPr>
          <w:rFonts w:ascii="Calibri" w:hAnsi="Calibri" w:cs="Calibri"/>
          <w:sz w:val="22"/>
          <w:szCs w:val="22"/>
        </w:rPr>
        <w:t>entre</w:t>
      </w:r>
      <w:r w:rsidRPr="00AD73A3">
        <w:rPr>
          <w:rFonts w:ascii="Calibri" w:hAnsi="Calibri" w:cs="Calibri"/>
          <w:sz w:val="22"/>
          <w:szCs w:val="22"/>
        </w:rPr>
        <w:t xml:space="preserve"> continues to maintain a</w:t>
      </w:r>
      <w:r w:rsidR="00657E4D">
        <w:rPr>
          <w:rFonts w:ascii="Calibri" w:hAnsi="Calibri" w:cs="Calibri"/>
          <w:sz w:val="22"/>
          <w:szCs w:val="22"/>
        </w:rPr>
        <w:t xml:space="preserve"> high proportion of A1</w:t>
      </w:r>
      <w:r w:rsidR="00A52982">
        <w:rPr>
          <w:rFonts w:ascii="Calibri" w:hAnsi="Calibri" w:cs="Calibri"/>
          <w:sz w:val="22"/>
          <w:szCs w:val="22"/>
        </w:rPr>
        <w:t xml:space="preserve"> retail</w:t>
      </w:r>
      <w:r w:rsidR="00657E4D">
        <w:rPr>
          <w:rFonts w:ascii="Calibri" w:hAnsi="Calibri" w:cs="Calibri"/>
          <w:sz w:val="22"/>
          <w:szCs w:val="22"/>
        </w:rPr>
        <w:t xml:space="preserve"> uses</w:t>
      </w:r>
      <w:r w:rsidR="00C62FE8">
        <w:rPr>
          <w:rFonts w:ascii="Calibri" w:hAnsi="Calibri" w:cs="Calibri"/>
          <w:sz w:val="22"/>
          <w:szCs w:val="22"/>
        </w:rPr>
        <w:t>,</w:t>
      </w:r>
      <w:r w:rsidRPr="00AD73A3">
        <w:rPr>
          <w:rFonts w:ascii="Calibri" w:hAnsi="Calibri" w:cs="Calibri"/>
          <w:sz w:val="22"/>
          <w:szCs w:val="22"/>
        </w:rPr>
        <w:t xml:space="preserve"> showing the importance and strength of the retail sector</w:t>
      </w:r>
      <w:r w:rsidR="00657E4D">
        <w:rPr>
          <w:rFonts w:ascii="Calibri" w:hAnsi="Calibri" w:cs="Calibri"/>
          <w:sz w:val="22"/>
          <w:szCs w:val="22"/>
        </w:rPr>
        <w:t>, but also the</w:t>
      </w:r>
      <w:r w:rsidRPr="00AD73A3">
        <w:rPr>
          <w:rFonts w:ascii="Calibri" w:hAnsi="Calibri" w:cs="Calibri"/>
          <w:sz w:val="22"/>
          <w:szCs w:val="22"/>
        </w:rPr>
        <w:t xml:space="preserve"> supporting role played by the service sector comprising both offices and food and drink. </w:t>
      </w:r>
    </w:p>
    <w:p w:rsidR="00AA0A89" w:rsidRPr="00AA0A89" w:rsidRDefault="00AD73A3" w:rsidP="004335B5">
      <w:pPr>
        <w:numPr>
          <w:ilvl w:val="0"/>
          <w:numId w:val="8"/>
        </w:numPr>
        <w:spacing w:after="200" w:line="276" w:lineRule="auto"/>
        <w:jc w:val="both"/>
        <w:rPr>
          <w:rFonts w:ascii="Calibri" w:hAnsi="Calibri" w:cs="Calibri"/>
          <w:sz w:val="22"/>
          <w:szCs w:val="22"/>
        </w:rPr>
      </w:pPr>
      <w:r w:rsidRPr="00AD73A3">
        <w:rPr>
          <w:rFonts w:ascii="Calibri" w:hAnsi="Calibri" w:cs="Calibri"/>
          <w:sz w:val="22"/>
          <w:szCs w:val="22"/>
        </w:rPr>
        <w:t>In relat</w:t>
      </w:r>
      <w:r w:rsidR="00C62FE8">
        <w:rPr>
          <w:rFonts w:ascii="Calibri" w:hAnsi="Calibri" w:cs="Calibri"/>
          <w:sz w:val="22"/>
          <w:szCs w:val="22"/>
        </w:rPr>
        <w:t xml:space="preserve">ion to the </w:t>
      </w:r>
      <w:r w:rsidR="003161C9">
        <w:rPr>
          <w:rFonts w:ascii="Calibri" w:hAnsi="Calibri" w:cs="Calibri"/>
          <w:sz w:val="22"/>
          <w:szCs w:val="22"/>
        </w:rPr>
        <w:t>district centre</w:t>
      </w:r>
      <w:r w:rsidR="00E8028F">
        <w:rPr>
          <w:rFonts w:ascii="Calibri" w:hAnsi="Calibri" w:cs="Calibri"/>
          <w:sz w:val="22"/>
          <w:szCs w:val="22"/>
        </w:rPr>
        <w:t>s,</w:t>
      </w:r>
      <w:r w:rsidRPr="00AD73A3">
        <w:rPr>
          <w:rFonts w:ascii="Calibri" w:hAnsi="Calibri" w:cs="Calibri"/>
          <w:sz w:val="22"/>
          <w:szCs w:val="22"/>
        </w:rPr>
        <w:t xml:space="preserve"> Templars Square is the only one that</w:t>
      </w:r>
      <w:r w:rsidR="00E8028F">
        <w:rPr>
          <w:rFonts w:ascii="Calibri" w:hAnsi="Calibri" w:cs="Calibri"/>
          <w:sz w:val="22"/>
          <w:szCs w:val="22"/>
        </w:rPr>
        <w:t xml:space="preserve"> is </w:t>
      </w:r>
      <w:r w:rsidR="00B032CE">
        <w:rPr>
          <w:rFonts w:ascii="Calibri" w:hAnsi="Calibri" w:cs="Calibri"/>
          <w:sz w:val="22"/>
          <w:szCs w:val="22"/>
        </w:rPr>
        <w:t>exceeding</w:t>
      </w:r>
      <w:r w:rsidR="00C62FE8">
        <w:rPr>
          <w:rFonts w:ascii="Calibri" w:hAnsi="Calibri" w:cs="Calibri"/>
          <w:sz w:val="22"/>
          <w:szCs w:val="22"/>
        </w:rPr>
        <w:t xml:space="preserve"> the Local Plan</w:t>
      </w:r>
      <w:r w:rsidR="00E8028F">
        <w:rPr>
          <w:rFonts w:ascii="Calibri" w:hAnsi="Calibri" w:cs="Calibri"/>
          <w:sz w:val="22"/>
          <w:szCs w:val="22"/>
        </w:rPr>
        <w:t xml:space="preserve"> target</w:t>
      </w:r>
      <w:r w:rsidR="00C62FE8">
        <w:rPr>
          <w:rFonts w:ascii="Calibri" w:hAnsi="Calibri" w:cs="Calibri"/>
          <w:sz w:val="22"/>
          <w:szCs w:val="22"/>
        </w:rPr>
        <w:t>, although</w:t>
      </w:r>
      <w:r w:rsidR="00B032CE">
        <w:rPr>
          <w:rFonts w:ascii="Calibri" w:hAnsi="Calibri" w:cs="Calibri"/>
          <w:sz w:val="22"/>
          <w:szCs w:val="22"/>
        </w:rPr>
        <w:t xml:space="preserve"> </w:t>
      </w:r>
      <w:proofErr w:type="spellStart"/>
      <w:r w:rsidR="00B032CE">
        <w:rPr>
          <w:rFonts w:ascii="Calibri" w:hAnsi="Calibri" w:cs="Calibri"/>
          <w:sz w:val="22"/>
          <w:szCs w:val="22"/>
        </w:rPr>
        <w:t>Headington</w:t>
      </w:r>
      <w:proofErr w:type="spellEnd"/>
      <w:r w:rsidR="00B032CE">
        <w:rPr>
          <w:rFonts w:ascii="Calibri" w:hAnsi="Calibri" w:cs="Calibri"/>
          <w:sz w:val="22"/>
          <w:szCs w:val="22"/>
        </w:rPr>
        <w:t xml:space="preserve"> and Summertown </w:t>
      </w:r>
      <w:r w:rsidR="00C62FE8">
        <w:rPr>
          <w:rFonts w:ascii="Calibri" w:hAnsi="Calibri" w:cs="Calibri"/>
          <w:sz w:val="22"/>
          <w:szCs w:val="22"/>
        </w:rPr>
        <w:t>only fall marginally below</w:t>
      </w:r>
      <w:r w:rsidR="00B032CE">
        <w:rPr>
          <w:rFonts w:ascii="Calibri" w:hAnsi="Calibri" w:cs="Calibri"/>
          <w:sz w:val="22"/>
          <w:szCs w:val="22"/>
        </w:rPr>
        <w:t>.</w:t>
      </w:r>
      <w:r w:rsidRPr="00AD73A3">
        <w:rPr>
          <w:rFonts w:ascii="Calibri" w:hAnsi="Calibri" w:cs="Calibri"/>
          <w:sz w:val="22"/>
          <w:szCs w:val="22"/>
        </w:rPr>
        <w:t xml:space="preserve"> </w:t>
      </w:r>
      <w:proofErr w:type="spellStart"/>
      <w:r w:rsidRPr="00AD73A3">
        <w:rPr>
          <w:rFonts w:ascii="Calibri" w:hAnsi="Calibri" w:cs="Calibri"/>
          <w:sz w:val="22"/>
          <w:szCs w:val="22"/>
        </w:rPr>
        <w:t>Cowley</w:t>
      </w:r>
      <w:proofErr w:type="spellEnd"/>
      <w:r w:rsidRPr="00AD73A3">
        <w:rPr>
          <w:rFonts w:ascii="Calibri" w:hAnsi="Calibri" w:cs="Calibri"/>
          <w:sz w:val="22"/>
          <w:szCs w:val="22"/>
        </w:rPr>
        <w:t xml:space="preserve"> Road continues to</w:t>
      </w:r>
      <w:r w:rsidR="00B032CE">
        <w:rPr>
          <w:rFonts w:ascii="Calibri" w:hAnsi="Calibri" w:cs="Calibri"/>
          <w:sz w:val="22"/>
          <w:szCs w:val="22"/>
        </w:rPr>
        <w:t xml:space="preserve"> be the exception and falls </w:t>
      </w:r>
      <w:r w:rsidR="00F01BC6">
        <w:rPr>
          <w:rFonts w:ascii="Calibri" w:hAnsi="Calibri" w:cs="Calibri"/>
          <w:sz w:val="22"/>
          <w:szCs w:val="22"/>
        </w:rPr>
        <w:t xml:space="preserve">significantly </w:t>
      </w:r>
      <w:r w:rsidR="00B032CE">
        <w:rPr>
          <w:rFonts w:ascii="Calibri" w:hAnsi="Calibri" w:cs="Calibri"/>
          <w:sz w:val="22"/>
          <w:szCs w:val="22"/>
        </w:rPr>
        <w:t xml:space="preserve">behind in terms of </w:t>
      </w:r>
      <w:r w:rsidR="00F01BC6">
        <w:rPr>
          <w:rFonts w:ascii="Calibri" w:hAnsi="Calibri" w:cs="Calibri"/>
          <w:sz w:val="22"/>
          <w:szCs w:val="22"/>
        </w:rPr>
        <w:t xml:space="preserve">the proportion of retail. </w:t>
      </w:r>
      <w:r w:rsidR="00B032CE">
        <w:rPr>
          <w:rFonts w:ascii="Calibri" w:hAnsi="Calibri" w:cs="Calibri"/>
          <w:sz w:val="22"/>
          <w:szCs w:val="22"/>
        </w:rPr>
        <w:t>This is</w:t>
      </w:r>
      <w:r w:rsidR="00F01BC6">
        <w:rPr>
          <w:rFonts w:ascii="Calibri" w:hAnsi="Calibri" w:cs="Calibri"/>
          <w:sz w:val="22"/>
          <w:szCs w:val="22"/>
        </w:rPr>
        <w:t xml:space="preserve"> due to the high proportion of </w:t>
      </w:r>
      <w:r w:rsidR="00F61597">
        <w:rPr>
          <w:rFonts w:ascii="Calibri" w:hAnsi="Calibri" w:cs="Calibri"/>
          <w:sz w:val="22"/>
          <w:szCs w:val="22"/>
        </w:rPr>
        <w:t xml:space="preserve">food and drink businesses </w:t>
      </w:r>
      <w:r w:rsidR="00C62FE8">
        <w:rPr>
          <w:rFonts w:ascii="Calibri" w:hAnsi="Calibri" w:cs="Calibri"/>
          <w:sz w:val="22"/>
          <w:szCs w:val="22"/>
        </w:rPr>
        <w:t>w</w:t>
      </w:r>
      <w:r w:rsidR="00A52982">
        <w:rPr>
          <w:rFonts w:ascii="Calibri" w:hAnsi="Calibri" w:cs="Calibri"/>
          <w:sz w:val="22"/>
          <w:szCs w:val="22"/>
        </w:rPr>
        <w:t xml:space="preserve">hich contribute strongly to the </w:t>
      </w:r>
      <w:r w:rsidR="00C62FE8">
        <w:rPr>
          <w:rFonts w:ascii="Calibri" w:hAnsi="Calibri" w:cs="Calibri"/>
          <w:sz w:val="22"/>
          <w:szCs w:val="22"/>
        </w:rPr>
        <w:t>character</w:t>
      </w:r>
      <w:r w:rsidR="00A52982">
        <w:rPr>
          <w:rFonts w:ascii="Calibri" w:hAnsi="Calibri" w:cs="Calibri"/>
          <w:sz w:val="22"/>
          <w:szCs w:val="22"/>
        </w:rPr>
        <w:t xml:space="preserve"> of the area</w:t>
      </w:r>
      <w:r w:rsidR="00C62FE8">
        <w:rPr>
          <w:rFonts w:ascii="Calibri" w:hAnsi="Calibri" w:cs="Calibri"/>
          <w:sz w:val="22"/>
          <w:szCs w:val="22"/>
        </w:rPr>
        <w:t>.</w:t>
      </w:r>
    </w:p>
    <w:p w:rsidR="00C62FE8" w:rsidRPr="00C62FE8" w:rsidRDefault="00C62FE8" w:rsidP="00C62FE8">
      <w:pPr>
        <w:spacing w:after="200" w:line="276" w:lineRule="auto"/>
        <w:ind w:left="360"/>
        <w:jc w:val="both"/>
        <w:rPr>
          <w:rFonts w:ascii="Calibri" w:hAnsi="Calibri" w:cs="Calibri"/>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75648" behindDoc="1" locked="0" layoutInCell="1" allowOverlap="1" wp14:anchorId="1F326054" wp14:editId="6AA62D70">
                <wp:simplePos x="0" y="0"/>
                <wp:positionH relativeFrom="column">
                  <wp:posOffset>-57150</wp:posOffset>
                </wp:positionH>
                <wp:positionV relativeFrom="paragraph">
                  <wp:posOffset>287020</wp:posOffset>
                </wp:positionV>
                <wp:extent cx="5857875" cy="1752600"/>
                <wp:effectExtent l="0" t="0" r="9525" b="0"/>
                <wp:wrapNone/>
                <wp:docPr id="61" name="Rectangle 61"/>
                <wp:cNvGraphicFramePr/>
                <a:graphic xmlns:a="http://schemas.openxmlformats.org/drawingml/2006/main">
                  <a:graphicData uri="http://schemas.microsoft.com/office/word/2010/wordprocessingShape">
                    <wps:wsp>
                      <wps:cNvSpPr/>
                      <wps:spPr>
                        <a:xfrm>
                          <a:off x="0" y="0"/>
                          <a:ext cx="5857875" cy="175260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5pt;margin-top:22.6pt;width:461.2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" fillcolor="#dbeef4" stroked="f" strokeweight="2pt"/>
            </w:pict>
          </mc:Fallback>
        </mc:AlternateContent>
      </w:r>
    </w:p>
    <w:p w:rsidR="00E7018D" w:rsidRPr="00670AA8" w:rsidRDefault="00E7018D" w:rsidP="00E7018D">
      <w:pPr>
        <w:autoSpaceDE w:val="0"/>
        <w:autoSpaceDN w:val="0"/>
        <w:adjustRightInd w:val="0"/>
        <w:jc w:val="both"/>
        <w:rPr>
          <w:rFonts w:ascii="Calibri" w:eastAsia="Calibri" w:hAnsi="Calibri" w:cs="Calibri"/>
          <w:b/>
          <w:color w:val="244061" w:themeColor="accent1" w:themeShade="80"/>
        </w:rPr>
      </w:pPr>
      <w:r>
        <w:rPr>
          <w:rFonts w:ascii="Calibri" w:eastAsia="Calibri" w:hAnsi="Calibri" w:cs="Calibri"/>
          <w:b/>
          <w:color w:val="244061" w:themeColor="accent1" w:themeShade="80"/>
        </w:rPr>
        <w:t>I</w:t>
      </w:r>
      <w:r w:rsidRPr="00670AA8">
        <w:rPr>
          <w:rFonts w:ascii="Calibri" w:eastAsia="Calibri" w:hAnsi="Calibri" w:cs="Calibri"/>
          <w:b/>
          <w:color w:val="244061" w:themeColor="accent1" w:themeShade="80"/>
        </w:rPr>
        <w:t>ndica</w:t>
      </w:r>
      <w:r>
        <w:rPr>
          <w:rFonts w:ascii="Calibri" w:eastAsia="Calibri" w:hAnsi="Calibri" w:cs="Calibri"/>
          <w:b/>
          <w:color w:val="244061" w:themeColor="accent1" w:themeShade="80"/>
        </w:rPr>
        <w:t>tor 9: SUPPLY OF SHORT STAY ACCOMMODATION</w:t>
      </w:r>
    </w:p>
    <w:p w:rsidR="00E7018D" w:rsidRPr="00670AA8" w:rsidRDefault="00E7018D" w:rsidP="00E7018D">
      <w:pPr>
        <w:autoSpaceDE w:val="0"/>
        <w:autoSpaceDN w:val="0"/>
        <w:adjustRightInd w:val="0"/>
        <w:jc w:val="both"/>
        <w:rPr>
          <w:rFonts w:ascii="Calibri" w:eastAsia="Calibri" w:hAnsi="Calibri" w:cs="Calibri"/>
          <w:b/>
          <w:color w:val="244061" w:themeColor="accent1" w:themeShade="80"/>
          <w:sz w:val="10"/>
          <w:szCs w:val="22"/>
        </w:rPr>
      </w:pPr>
    </w:p>
    <w:p w:rsidR="00E7018D" w:rsidRDefault="00E7018D" w:rsidP="00E7018D">
      <w:pPr>
        <w:autoSpaceDE w:val="0"/>
        <w:autoSpaceDN w:val="0"/>
        <w:adjustRightInd w:val="0"/>
        <w:jc w:val="both"/>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 xml:space="preserve">Target: Net growth in short-stay accommodation bedrooms against 2007 baseline of 2559 serviced bedrooms </w:t>
      </w:r>
      <w:r w:rsidRPr="00ED365D">
        <w:rPr>
          <w:rFonts w:ascii="Calibri" w:eastAsia="Calibri" w:hAnsi="Calibri" w:cs="Calibri"/>
          <w:color w:val="244061" w:themeColor="accent1" w:themeShade="80"/>
          <w:sz w:val="20"/>
          <w:szCs w:val="22"/>
        </w:rPr>
        <w:t>(Oxford Core Strategy</w:t>
      </w:r>
      <w:r>
        <w:rPr>
          <w:rFonts w:ascii="Calibri" w:eastAsia="Calibri" w:hAnsi="Calibri" w:cs="Calibri"/>
          <w:color w:val="244061" w:themeColor="accent1" w:themeShade="80"/>
          <w:sz w:val="20"/>
          <w:szCs w:val="22"/>
        </w:rPr>
        <w:t xml:space="preserve"> Policy CS32</w:t>
      </w:r>
      <w:r w:rsidRPr="00ED365D">
        <w:rPr>
          <w:rFonts w:ascii="Calibri" w:eastAsia="Calibri" w:hAnsi="Calibri" w:cs="Calibri"/>
          <w:color w:val="244061" w:themeColor="accent1" w:themeShade="80"/>
          <w:sz w:val="20"/>
          <w:szCs w:val="22"/>
        </w:rPr>
        <w:t>)</w:t>
      </w:r>
    </w:p>
    <w:p w:rsidR="00E7018D" w:rsidRDefault="00E7018D" w:rsidP="00E7018D">
      <w:pPr>
        <w:autoSpaceDE w:val="0"/>
        <w:autoSpaceDN w:val="0"/>
        <w:adjustRightInd w:val="0"/>
        <w:jc w:val="both"/>
        <w:rPr>
          <w:rFonts w:ascii="Calibri" w:eastAsia="Calibri" w:hAnsi="Calibri" w:cs="Calibri"/>
          <w:b/>
          <w:color w:val="244061" w:themeColor="accent1"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E7018D" w:rsidTr="00C615C2">
        <w:trPr>
          <w:trHeight w:val="218"/>
        </w:trPr>
        <w:tc>
          <w:tcPr>
            <w:tcW w:w="5420" w:type="dxa"/>
          </w:tcPr>
          <w:p w:rsidR="00E7018D" w:rsidRPr="00742A00" w:rsidRDefault="00E7018D" w:rsidP="00C615C2">
            <w:pPr>
              <w:autoSpaceDE w:val="0"/>
              <w:autoSpaceDN w:val="0"/>
              <w:adjustRightInd w:val="0"/>
              <w:rPr>
                <w:b/>
                <w:noProof/>
                <w:sz w:val="16"/>
                <w:szCs w:val="16"/>
                <w:lang w:eastAsia="en-GB"/>
              </w:rPr>
            </w:pPr>
            <w:r>
              <w:rPr>
                <w:rFonts w:ascii="Calibri" w:eastAsia="Calibri" w:hAnsi="Calibri" w:cs="Calibri"/>
                <w:b/>
                <w:color w:val="244061" w:themeColor="accent1" w:themeShade="80"/>
                <w:sz w:val="22"/>
                <w:szCs w:val="22"/>
              </w:rPr>
              <w:t>Performance against target 2013/14:</w:t>
            </w:r>
          </w:p>
        </w:tc>
        <w:tc>
          <w:tcPr>
            <w:tcW w:w="3714" w:type="dxa"/>
            <w:gridSpan w:val="2"/>
          </w:tcPr>
          <w:p w:rsidR="00E7018D" w:rsidRDefault="00E7018D" w:rsidP="00C615C2">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Performance in previous two years:</w:t>
            </w:r>
          </w:p>
        </w:tc>
      </w:tr>
      <w:tr w:rsidR="00E7018D" w:rsidTr="00C615C2">
        <w:tc>
          <w:tcPr>
            <w:tcW w:w="5420" w:type="dxa"/>
            <w:vMerge w:val="restart"/>
          </w:tcPr>
          <w:p w:rsidR="00E7018D" w:rsidRPr="00E523A6" w:rsidRDefault="00E7018D" w:rsidP="00C615C2">
            <w:pPr>
              <w:autoSpaceDE w:val="0"/>
              <w:autoSpaceDN w:val="0"/>
              <w:adjustRightInd w:val="0"/>
              <w:jc w:val="center"/>
              <w:rPr>
                <w:rFonts w:ascii="Calibri" w:eastAsia="Calibri" w:hAnsi="Calibri" w:cs="Calibri"/>
                <w:b/>
                <w:color w:val="244061" w:themeColor="accent1" w:themeShade="80"/>
                <w:sz w:val="8"/>
                <w:szCs w:val="8"/>
              </w:rPr>
            </w:pPr>
          </w:p>
          <w:p w:rsidR="00E7018D" w:rsidRPr="00742A00" w:rsidRDefault="00E7018D" w:rsidP="00C615C2">
            <w:pPr>
              <w:autoSpaceDE w:val="0"/>
              <w:autoSpaceDN w:val="0"/>
              <w:adjustRightInd w:val="0"/>
              <w:jc w:val="center"/>
              <w:rPr>
                <w:rFonts w:ascii="Calibri" w:eastAsia="Calibri" w:hAnsi="Calibri" w:cs="Calibri"/>
                <w:b/>
                <w:color w:val="244061" w:themeColor="accent1" w:themeShade="80"/>
                <w:sz w:val="12"/>
                <w:szCs w:val="12"/>
              </w:rPr>
            </w:pPr>
            <w:r w:rsidRPr="000B530E">
              <w:rPr>
                <w:b/>
                <w:noProof/>
                <w:color w:val="3F4F21"/>
                <w:sz w:val="32"/>
                <w:szCs w:val="32"/>
                <w:lang w:eastAsia="en-GB"/>
              </w:rPr>
              <w:drawing>
                <wp:inline distT="0" distB="0" distL="0" distR="0" wp14:anchorId="042A0100" wp14:editId="5A751246">
                  <wp:extent cx="1666875" cy="501917"/>
                  <wp:effectExtent l="0" t="0" r="0" b="0"/>
                  <wp:docPr id="79" name="Picture 7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E7018D" w:rsidRDefault="00E7018D" w:rsidP="00C615C2">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2012/13:</w:t>
            </w:r>
          </w:p>
        </w:tc>
        <w:tc>
          <w:tcPr>
            <w:tcW w:w="2613" w:type="dxa"/>
          </w:tcPr>
          <w:p w:rsidR="00E7018D" w:rsidRDefault="00E7018D" w:rsidP="00C615C2">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584AE6E3" wp14:editId="4C887C0A">
                  <wp:extent cx="1085850" cy="326964"/>
                  <wp:effectExtent l="0" t="0" r="0" b="0"/>
                  <wp:docPr id="60" name="Picture 6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E7018D" w:rsidRPr="00E523A6" w:rsidRDefault="00E7018D" w:rsidP="00C615C2">
            <w:pPr>
              <w:autoSpaceDE w:val="0"/>
              <w:autoSpaceDN w:val="0"/>
              <w:adjustRightInd w:val="0"/>
              <w:jc w:val="center"/>
              <w:rPr>
                <w:rFonts w:ascii="Calibri" w:eastAsia="Calibri" w:hAnsi="Calibri" w:cs="Calibri"/>
                <w:b/>
                <w:color w:val="244061" w:themeColor="accent1" w:themeShade="80"/>
                <w:sz w:val="8"/>
                <w:szCs w:val="8"/>
              </w:rPr>
            </w:pPr>
          </w:p>
        </w:tc>
      </w:tr>
      <w:tr w:rsidR="00E7018D" w:rsidTr="00C615C2">
        <w:tc>
          <w:tcPr>
            <w:tcW w:w="5420" w:type="dxa"/>
            <w:vMerge/>
          </w:tcPr>
          <w:p w:rsidR="00E7018D" w:rsidRDefault="00E7018D" w:rsidP="00C615C2">
            <w:pPr>
              <w:autoSpaceDE w:val="0"/>
              <w:autoSpaceDN w:val="0"/>
              <w:adjustRightInd w:val="0"/>
              <w:jc w:val="center"/>
              <w:rPr>
                <w:rFonts w:ascii="Calibri" w:eastAsia="Calibri" w:hAnsi="Calibri" w:cs="Calibri"/>
                <w:b/>
                <w:color w:val="244061" w:themeColor="accent1" w:themeShade="80"/>
                <w:sz w:val="22"/>
                <w:szCs w:val="22"/>
              </w:rPr>
            </w:pPr>
          </w:p>
        </w:tc>
        <w:tc>
          <w:tcPr>
            <w:tcW w:w="1101" w:type="dxa"/>
          </w:tcPr>
          <w:p w:rsidR="00E7018D" w:rsidRDefault="00E7018D" w:rsidP="00C615C2">
            <w:pPr>
              <w:autoSpaceDE w:val="0"/>
              <w:autoSpaceDN w:val="0"/>
              <w:adjustRightInd w:val="0"/>
              <w:rPr>
                <w:rFonts w:ascii="Calibri" w:eastAsia="Calibri" w:hAnsi="Calibri" w:cs="Calibri"/>
                <w:b/>
                <w:color w:val="244061" w:themeColor="accent1" w:themeShade="80"/>
                <w:sz w:val="22"/>
                <w:szCs w:val="22"/>
              </w:rPr>
            </w:pPr>
            <w:r>
              <w:rPr>
                <w:rFonts w:ascii="Calibri" w:eastAsia="Calibri" w:hAnsi="Calibri" w:cs="Calibri"/>
                <w:b/>
                <w:color w:val="244061" w:themeColor="accent1" w:themeShade="80"/>
                <w:sz w:val="22"/>
                <w:szCs w:val="22"/>
              </w:rPr>
              <w:t>2011/12:</w:t>
            </w:r>
          </w:p>
        </w:tc>
        <w:tc>
          <w:tcPr>
            <w:tcW w:w="2613" w:type="dxa"/>
          </w:tcPr>
          <w:p w:rsidR="00E7018D" w:rsidRDefault="00E7018D" w:rsidP="00C615C2">
            <w:pPr>
              <w:autoSpaceDE w:val="0"/>
              <w:autoSpaceDN w:val="0"/>
              <w:adjustRightInd w:val="0"/>
              <w:rPr>
                <w:rFonts w:ascii="Calibri" w:eastAsia="Calibri" w:hAnsi="Calibri" w:cs="Calibri"/>
                <w:b/>
                <w:color w:val="244061" w:themeColor="accent1" w:themeShade="80"/>
                <w:sz w:val="22"/>
                <w:szCs w:val="22"/>
              </w:rPr>
            </w:pPr>
            <w:r>
              <w:rPr>
                <w:b/>
                <w:noProof/>
                <w:sz w:val="32"/>
                <w:szCs w:val="32"/>
                <w:lang w:eastAsia="en-GB"/>
              </w:rPr>
              <w:drawing>
                <wp:inline distT="0" distB="0" distL="0" distR="0" wp14:anchorId="2B0B62DA" wp14:editId="6EDC0927">
                  <wp:extent cx="1085850" cy="326964"/>
                  <wp:effectExtent l="0" t="0" r="0" b="0"/>
                  <wp:docPr id="59" name="Picture 5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E7018D" w:rsidRDefault="00E7018D" w:rsidP="00E7018D">
      <w:pPr>
        <w:spacing w:after="200" w:line="276" w:lineRule="auto"/>
        <w:jc w:val="both"/>
        <w:rPr>
          <w:rFonts w:ascii="Calibri" w:hAnsi="Calibri" w:cs="Calibri"/>
          <w:sz w:val="22"/>
          <w:szCs w:val="22"/>
        </w:rPr>
      </w:pPr>
    </w:p>
    <w:p w:rsidR="00E7018D" w:rsidRDefault="00E7018D" w:rsidP="004335B5">
      <w:pPr>
        <w:numPr>
          <w:ilvl w:val="0"/>
          <w:numId w:val="8"/>
        </w:numPr>
        <w:spacing w:after="200" w:line="276" w:lineRule="auto"/>
        <w:jc w:val="both"/>
        <w:rPr>
          <w:rFonts w:ascii="Calibri" w:hAnsi="Calibri" w:cs="Calibri"/>
          <w:sz w:val="22"/>
          <w:szCs w:val="22"/>
        </w:rPr>
      </w:pPr>
      <w:r>
        <w:rPr>
          <w:rFonts w:ascii="Calibri" w:hAnsi="Calibri" w:cs="Calibri"/>
          <w:sz w:val="22"/>
          <w:szCs w:val="22"/>
        </w:rPr>
        <w:t>T</w:t>
      </w:r>
      <w:r w:rsidR="00F61597">
        <w:rPr>
          <w:rFonts w:ascii="Calibri" w:hAnsi="Calibri" w:cs="Calibri"/>
          <w:sz w:val="22"/>
          <w:szCs w:val="22"/>
        </w:rPr>
        <w:t>here was a net increase of nine</w:t>
      </w:r>
      <w:r w:rsidRPr="00E7018D">
        <w:rPr>
          <w:rFonts w:ascii="Calibri" w:hAnsi="Calibri" w:cs="Calibri"/>
          <w:sz w:val="22"/>
          <w:szCs w:val="22"/>
        </w:rPr>
        <w:t xml:space="preserve"> short-stay accommodation bedrooms in the 2013</w:t>
      </w:r>
      <w:r w:rsidR="00F61597">
        <w:rPr>
          <w:rFonts w:ascii="Calibri" w:hAnsi="Calibri" w:cs="Calibri"/>
          <w:sz w:val="22"/>
          <w:szCs w:val="22"/>
        </w:rPr>
        <w:t>/</w:t>
      </w:r>
      <w:r w:rsidRPr="00E7018D">
        <w:rPr>
          <w:rFonts w:ascii="Calibri" w:hAnsi="Calibri" w:cs="Calibri"/>
          <w:sz w:val="22"/>
          <w:szCs w:val="22"/>
        </w:rPr>
        <w:t>14 monitoring year. Although this represents a relatively small increase, this is set against a longer-term background of considerable activity i</w:t>
      </w:r>
      <w:r w:rsidR="00F61597">
        <w:rPr>
          <w:rFonts w:ascii="Calibri" w:hAnsi="Calibri" w:cs="Calibri"/>
          <w:sz w:val="22"/>
          <w:szCs w:val="22"/>
        </w:rPr>
        <w:t xml:space="preserve">n the sector. This has included, for example, </w:t>
      </w:r>
      <w:r w:rsidRPr="00E7018D">
        <w:rPr>
          <w:rFonts w:ascii="Calibri" w:hAnsi="Calibri" w:cs="Calibri"/>
          <w:sz w:val="22"/>
          <w:szCs w:val="22"/>
        </w:rPr>
        <w:t>the commencement of work on a</w:t>
      </w:r>
      <w:r w:rsidR="00F61597">
        <w:rPr>
          <w:rFonts w:ascii="Calibri" w:hAnsi="Calibri" w:cs="Calibri"/>
          <w:sz w:val="22"/>
          <w:szCs w:val="22"/>
        </w:rPr>
        <w:t xml:space="preserve">n 87 bedroom </w:t>
      </w:r>
      <w:r w:rsidRPr="00E7018D">
        <w:rPr>
          <w:rFonts w:ascii="Calibri" w:hAnsi="Calibri" w:cs="Calibri"/>
          <w:sz w:val="22"/>
          <w:szCs w:val="22"/>
        </w:rPr>
        <w:t xml:space="preserve">hotel on land adjacent to the Priory Public House on Grenoble Road. An application has </w:t>
      </w:r>
      <w:r w:rsidR="00F61597">
        <w:rPr>
          <w:rFonts w:ascii="Calibri" w:hAnsi="Calibri" w:cs="Calibri"/>
          <w:sz w:val="22"/>
          <w:szCs w:val="22"/>
        </w:rPr>
        <w:t xml:space="preserve">also </w:t>
      </w:r>
      <w:r w:rsidRPr="00E7018D">
        <w:rPr>
          <w:rFonts w:ascii="Calibri" w:hAnsi="Calibri" w:cs="Calibri"/>
          <w:sz w:val="22"/>
          <w:szCs w:val="22"/>
        </w:rPr>
        <w:t>recently been allowed on appeal for a new</w:t>
      </w:r>
      <w:r w:rsidR="00F61597">
        <w:rPr>
          <w:rFonts w:ascii="Calibri" w:hAnsi="Calibri" w:cs="Calibri"/>
          <w:sz w:val="22"/>
          <w:szCs w:val="22"/>
        </w:rPr>
        <w:t xml:space="preserve"> 83 bedroom </w:t>
      </w:r>
      <w:r w:rsidR="008D3370">
        <w:rPr>
          <w:rFonts w:ascii="Calibri" w:hAnsi="Calibri" w:cs="Calibri"/>
          <w:sz w:val="22"/>
          <w:szCs w:val="22"/>
        </w:rPr>
        <w:t xml:space="preserve">hotel </w:t>
      </w:r>
      <w:r w:rsidRPr="00E7018D">
        <w:rPr>
          <w:rFonts w:ascii="Calibri" w:hAnsi="Calibri" w:cs="Calibri"/>
          <w:sz w:val="22"/>
          <w:szCs w:val="22"/>
        </w:rPr>
        <w:t>at the f</w:t>
      </w:r>
      <w:r w:rsidR="00F61597">
        <w:rPr>
          <w:rFonts w:ascii="Calibri" w:hAnsi="Calibri" w:cs="Calibri"/>
          <w:sz w:val="22"/>
          <w:szCs w:val="22"/>
        </w:rPr>
        <w:t>ormer Bathroom warehouse site on</w:t>
      </w:r>
      <w:r w:rsidRPr="00E7018D">
        <w:rPr>
          <w:rFonts w:ascii="Calibri" w:hAnsi="Calibri" w:cs="Calibri"/>
          <w:sz w:val="22"/>
          <w:szCs w:val="22"/>
        </w:rPr>
        <w:t xml:space="preserve"> Abingdon Road.  </w:t>
      </w:r>
      <w:r w:rsidR="00F61597">
        <w:rPr>
          <w:rFonts w:ascii="Calibri" w:hAnsi="Calibri" w:cs="Calibri"/>
          <w:sz w:val="22"/>
          <w:szCs w:val="22"/>
        </w:rPr>
        <w:t>A further p</w:t>
      </w:r>
      <w:r w:rsidRPr="00E7018D">
        <w:rPr>
          <w:rFonts w:ascii="Calibri" w:hAnsi="Calibri" w:cs="Calibri"/>
          <w:sz w:val="22"/>
          <w:szCs w:val="22"/>
        </w:rPr>
        <w:t>lanning permission has been granted for the conversion of an office building to a</w:t>
      </w:r>
      <w:r w:rsidR="006D60DF">
        <w:rPr>
          <w:rFonts w:ascii="Calibri" w:hAnsi="Calibri" w:cs="Calibri"/>
          <w:sz w:val="22"/>
          <w:szCs w:val="22"/>
        </w:rPr>
        <w:t xml:space="preserve"> 66 bedroom</w:t>
      </w:r>
      <w:r w:rsidRPr="00E7018D">
        <w:rPr>
          <w:rFonts w:ascii="Calibri" w:hAnsi="Calibri" w:cs="Calibri"/>
          <w:sz w:val="22"/>
          <w:szCs w:val="22"/>
        </w:rPr>
        <w:t xml:space="preserve"> hot</w:t>
      </w:r>
      <w:r>
        <w:rPr>
          <w:rFonts w:ascii="Calibri" w:hAnsi="Calibri" w:cs="Calibri"/>
          <w:sz w:val="22"/>
          <w:szCs w:val="22"/>
        </w:rPr>
        <w:t xml:space="preserve">el </w:t>
      </w:r>
      <w:r w:rsidR="00F61597">
        <w:rPr>
          <w:rFonts w:ascii="Calibri" w:hAnsi="Calibri" w:cs="Calibri"/>
          <w:sz w:val="22"/>
          <w:szCs w:val="22"/>
        </w:rPr>
        <w:t>on</w:t>
      </w:r>
      <w:r>
        <w:rPr>
          <w:rFonts w:ascii="Calibri" w:hAnsi="Calibri" w:cs="Calibri"/>
          <w:sz w:val="22"/>
          <w:szCs w:val="22"/>
        </w:rPr>
        <w:t xml:space="preserve"> the </w:t>
      </w:r>
      <w:proofErr w:type="spellStart"/>
      <w:r>
        <w:rPr>
          <w:rFonts w:ascii="Calibri" w:hAnsi="Calibri" w:cs="Calibri"/>
          <w:sz w:val="22"/>
          <w:szCs w:val="22"/>
        </w:rPr>
        <w:t>Cowley</w:t>
      </w:r>
      <w:proofErr w:type="spellEnd"/>
      <w:r>
        <w:rPr>
          <w:rFonts w:ascii="Calibri" w:hAnsi="Calibri" w:cs="Calibri"/>
          <w:sz w:val="22"/>
          <w:szCs w:val="22"/>
        </w:rPr>
        <w:t xml:space="preserve"> Road</w:t>
      </w:r>
      <w:r w:rsidR="00F61597">
        <w:rPr>
          <w:rFonts w:ascii="Calibri" w:hAnsi="Calibri" w:cs="Calibri"/>
          <w:sz w:val="22"/>
          <w:szCs w:val="22"/>
        </w:rPr>
        <w:t>.</w:t>
      </w:r>
    </w:p>
    <w:p w:rsidR="005C674B" w:rsidRDefault="005C674B" w:rsidP="00E7018D">
      <w:pPr>
        <w:rPr>
          <w:rFonts w:ascii="Calibri" w:hAnsi="Calibri" w:cs="Calibri"/>
          <w:sz w:val="22"/>
          <w:szCs w:val="22"/>
        </w:rPr>
      </w:pPr>
    </w:p>
    <w:p w:rsidR="00AD7955" w:rsidRDefault="00AD7955" w:rsidP="00E7018D">
      <w:pPr>
        <w:rPr>
          <w:rFonts w:ascii="Calibri" w:hAnsi="Calibri" w:cs="Calibri"/>
          <w:sz w:val="22"/>
          <w:szCs w:val="22"/>
        </w:rPr>
      </w:pPr>
    </w:p>
    <w:p w:rsidR="00AD7955" w:rsidRDefault="00AD7955" w:rsidP="00E7018D">
      <w:pPr>
        <w:rPr>
          <w:rFonts w:ascii="Calibri" w:eastAsia="Calibri" w:hAnsi="Calibri" w:cs="Calibri"/>
          <w:color w:val="000000"/>
          <w:sz w:val="22"/>
          <w:szCs w:val="22"/>
        </w:rPr>
      </w:pPr>
    </w:p>
    <w:p w:rsidR="00F61597" w:rsidRPr="00E7018D" w:rsidRDefault="00F61597" w:rsidP="00E7018D">
      <w:pPr>
        <w:rPr>
          <w:rFonts w:ascii="Calibri" w:eastAsia="Calibri" w:hAnsi="Calibri" w:cs="Calibri"/>
          <w:color w:val="000000"/>
          <w:sz w:val="22"/>
          <w:szCs w:val="22"/>
        </w:rPr>
      </w:pPr>
    </w:p>
    <w:p w:rsidR="002669E1" w:rsidRPr="002669E1" w:rsidRDefault="00AD73A3" w:rsidP="002669E1">
      <w:pPr>
        <w:rPr>
          <w:rFonts w:ascii="Calibri" w:eastAsia="Calibri" w:hAnsi="Calibri" w:cs="Calibri"/>
          <w:b/>
          <w:color w:val="244061" w:themeColor="accent1" w:themeShade="80"/>
          <w:sz w:val="28"/>
          <w:szCs w:val="28"/>
        </w:rPr>
      </w:pPr>
      <w:r w:rsidRPr="00AD73A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85216" behindDoc="0" locked="0" layoutInCell="1" allowOverlap="1" wp14:anchorId="0A5813B5" wp14:editId="6FF8C7DD">
                <wp:simplePos x="0" y="0"/>
                <wp:positionH relativeFrom="column">
                  <wp:posOffset>3651885</wp:posOffset>
                </wp:positionH>
                <wp:positionV relativeFrom="paragraph">
                  <wp:posOffset>-526473</wp:posOffset>
                </wp:positionV>
                <wp:extent cx="2427605" cy="352425"/>
                <wp:effectExtent l="0" t="0" r="0" b="9525"/>
                <wp:wrapNone/>
                <wp:docPr id="93" name="Text Box 9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 o:spid="_x0000_s1040" type="#_x0000_t202" style="position:absolute;margin-left:287.55pt;margin-top:-41.45pt;width:191.15pt;height:27.7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" fillcolor="window" stroked="f" strokeweight=".5pt">
                <v:textbox>
                  <w:txbxContent>
                    <w:p w:rsidR="000D3CFF" w:rsidRPr="00280EB5" w:rsidRDefault="000D3CFF" w:rsidP="00AD73A3">
                      <w:pPr>
                        <w:jc w:val="right"/>
                        <w:rPr>
                          <w:b/>
                          <w:color w:val="17365D" w:themeColor="text2" w:themeShade="BF"/>
                        </w:rPr>
                      </w:pPr>
                      <w:r>
                        <w:rPr>
                          <w:b/>
                          <w:color w:val="17365D" w:themeColor="text2" w:themeShade="BF"/>
                        </w:rPr>
                        <w:t>Vibrant, Sustainable Economy</w:t>
                      </w:r>
                    </w:p>
                  </w:txbxContent>
                </v:textbox>
              </v:shape>
            </w:pict>
          </mc:Fallback>
        </mc:AlternateContent>
      </w:r>
      <w:r w:rsidR="001E78F4">
        <w:rPr>
          <w:rFonts w:ascii="Calibri" w:eastAsia="Calibri" w:hAnsi="Calibri" w:cs="Calibri"/>
          <w:b/>
          <w:color w:val="244061" w:themeColor="accent1" w:themeShade="80"/>
          <w:sz w:val="28"/>
          <w:szCs w:val="28"/>
        </w:rPr>
        <w:t>Summary</w:t>
      </w:r>
      <w:r w:rsidR="002669E1" w:rsidRPr="002669E1">
        <w:rPr>
          <w:rFonts w:ascii="Calibri" w:eastAsia="Calibri" w:hAnsi="Calibri" w:cs="Calibri"/>
          <w:b/>
          <w:color w:val="244061" w:themeColor="accent1" w:themeShade="80"/>
          <w:sz w:val="28"/>
          <w:szCs w:val="28"/>
        </w:rPr>
        <w:t xml:space="preserve">: Vibrant Sustainable Economy </w:t>
      </w:r>
    </w:p>
    <w:p w:rsidR="00616B67" w:rsidRDefault="00616B67" w:rsidP="00AD73A3">
      <w:pPr>
        <w:autoSpaceDE w:val="0"/>
        <w:autoSpaceDN w:val="0"/>
        <w:adjustRightInd w:val="0"/>
        <w:jc w:val="both"/>
        <w:rPr>
          <w:rFonts w:ascii="Calibri" w:eastAsia="Calibri" w:hAnsi="Calibri" w:cs="Calibri"/>
          <w:color w:val="000000"/>
          <w:sz w:val="22"/>
          <w:szCs w:val="22"/>
        </w:rPr>
      </w:pPr>
    </w:p>
    <w:tbl>
      <w:tblPr>
        <w:tblStyle w:val="TableGrid"/>
        <w:tblW w:w="0" w:type="auto"/>
        <w:tblInd w:w="95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409"/>
        <w:gridCol w:w="2410"/>
        <w:gridCol w:w="2410"/>
      </w:tblGrid>
      <w:tr w:rsidR="00616B67" w:rsidRPr="00B42F30" w:rsidTr="006274E1">
        <w:tc>
          <w:tcPr>
            <w:tcW w:w="2409" w:type="dxa"/>
            <w:shd w:val="clear" w:color="auto" w:fill="DBE5F1" w:themeFill="accent1" w:themeFillTint="33"/>
          </w:tcPr>
          <w:p w:rsidR="00616B67" w:rsidRDefault="00D812A6" w:rsidP="00D812A6">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36186392" wp14:editId="60B09C4C">
                  <wp:extent cx="946033" cy="284862"/>
                  <wp:effectExtent l="0" t="0" r="6985" b="1270"/>
                  <wp:docPr id="209" name="Picture 20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3" cy="289105"/>
                          </a:xfrm>
                          <a:prstGeom prst="rect">
                            <a:avLst/>
                          </a:prstGeom>
                          <a:noFill/>
                          <a:ln>
                            <a:noFill/>
                          </a:ln>
                        </pic:spPr>
                      </pic:pic>
                    </a:graphicData>
                  </a:graphic>
                </wp:inline>
              </w:drawing>
            </w:r>
          </w:p>
        </w:tc>
        <w:tc>
          <w:tcPr>
            <w:tcW w:w="2410" w:type="dxa"/>
            <w:shd w:val="clear" w:color="auto" w:fill="DBE5F1" w:themeFill="accent1" w:themeFillTint="33"/>
          </w:tcPr>
          <w:p w:rsidR="00616B67" w:rsidRDefault="00616B67" w:rsidP="00D812A6">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7268FBA7" wp14:editId="408B3306">
                  <wp:extent cx="964729" cy="285750"/>
                  <wp:effectExtent l="0" t="0" r="6985" b="0"/>
                  <wp:docPr id="208" name="Picture 208"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12" cy="290395"/>
                          </a:xfrm>
                          <a:prstGeom prst="rect">
                            <a:avLst/>
                          </a:prstGeom>
                          <a:noFill/>
                          <a:ln>
                            <a:noFill/>
                          </a:ln>
                        </pic:spPr>
                      </pic:pic>
                    </a:graphicData>
                  </a:graphic>
                </wp:inline>
              </w:drawing>
            </w:r>
          </w:p>
        </w:tc>
        <w:tc>
          <w:tcPr>
            <w:tcW w:w="2410" w:type="dxa"/>
            <w:shd w:val="clear" w:color="auto" w:fill="DBE5F1" w:themeFill="accent1" w:themeFillTint="33"/>
          </w:tcPr>
          <w:p w:rsidR="00616B67" w:rsidRPr="00D812A6" w:rsidRDefault="00D812A6" w:rsidP="00D812A6">
            <w:pPr>
              <w:autoSpaceDE w:val="0"/>
              <w:autoSpaceDN w:val="0"/>
              <w:adjustRightInd w:val="0"/>
              <w:spacing w:before="60" w:after="60"/>
              <w:jc w:val="center"/>
              <w:rPr>
                <w:rFonts w:ascii="Calibri" w:eastAsia="Calibri" w:hAnsi="Calibri" w:cs="Calibri"/>
                <w:color w:val="000000"/>
                <w:sz w:val="22"/>
                <w:szCs w:val="22"/>
              </w:rPr>
            </w:pPr>
            <w:r>
              <w:rPr>
                <w:noProof/>
                <w:lang w:eastAsia="en-GB"/>
              </w:rPr>
              <w:drawing>
                <wp:inline distT="0" distB="0" distL="0" distR="0" wp14:anchorId="373142AC" wp14:editId="77D7A3FC">
                  <wp:extent cx="947738" cy="290513"/>
                  <wp:effectExtent l="0" t="0" r="5080" b="0"/>
                  <wp:docPr id="210" name="Picture 210"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5386" cy="298988"/>
                          </a:xfrm>
                          <a:prstGeom prst="rect">
                            <a:avLst/>
                          </a:prstGeom>
                          <a:noFill/>
                          <a:ln>
                            <a:noFill/>
                          </a:ln>
                        </pic:spPr>
                      </pic:pic>
                    </a:graphicData>
                  </a:graphic>
                </wp:inline>
              </w:drawing>
            </w:r>
          </w:p>
        </w:tc>
      </w:tr>
      <w:tr w:rsidR="00616B67" w:rsidRPr="0067583C" w:rsidTr="006274E1">
        <w:tc>
          <w:tcPr>
            <w:tcW w:w="2409" w:type="dxa"/>
            <w:shd w:val="clear" w:color="auto" w:fill="DBE5F1" w:themeFill="accent1" w:themeFillTint="33"/>
          </w:tcPr>
          <w:p w:rsidR="00616B67" w:rsidRPr="008E1CEA" w:rsidRDefault="00901791" w:rsidP="00D812A6">
            <w:pPr>
              <w:autoSpaceDE w:val="0"/>
              <w:autoSpaceDN w:val="0"/>
              <w:adjustRightInd w:val="0"/>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 xml:space="preserve">5 </w:t>
            </w:r>
            <w:r w:rsidR="00616B67" w:rsidRPr="008E1CEA">
              <w:rPr>
                <w:rFonts w:ascii="Calibri" w:eastAsia="Calibri" w:hAnsi="Calibri" w:cs="Calibri"/>
                <w:color w:val="000000"/>
                <w:sz w:val="22"/>
                <w:szCs w:val="22"/>
              </w:rPr>
              <w:t>(</w:t>
            </w:r>
            <w:r>
              <w:rPr>
                <w:rFonts w:ascii="Calibri" w:eastAsia="Calibri" w:hAnsi="Calibri" w:cs="Calibri"/>
                <w:color w:val="000000"/>
                <w:sz w:val="22"/>
                <w:szCs w:val="22"/>
              </w:rPr>
              <w:t>56</w:t>
            </w:r>
            <w:r w:rsidR="00616B67" w:rsidRPr="008E1CEA">
              <w:rPr>
                <w:rFonts w:ascii="Calibri" w:eastAsia="Calibri" w:hAnsi="Calibri" w:cs="Calibri"/>
                <w:color w:val="000000"/>
                <w:sz w:val="22"/>
                <w:szCs w:val="22"/>
              </w:rPr>
              <w:t>%)</w:t>
            </w:r>
          </w:p>
        </w:tc>
        <w:tc>
          <w:tcPr>
            <w:tcW w:w="2410" w:type="dxa"/>
            <w:shd w:val="clear" w:color="auto" w:fill="DBE5F1" w:themeFill="accent1" w:themeFillTint="33"/>
          </w:tcPr>
          <w:p w:rsidR="00616B67" w:rsidRPr="008E1CEA" w:rsidRDefault="004E1070" w:rsidP="00D812A6">
            <w:pPr>
              <w:autoSpaceDE w:val="0"/>
              <w:autoSpaceDN w:val="0"/>
              <w:adjustRightInd w:val="0"/>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3</w:t>
            </w:r>
            <w:r w:rsidR="00901791">
              <w:rPr>
                <w:rFonts w:ascii="Calibri" w:eastAsia="Calibri" w:hAnsi="Calibri" w:cs="Calibri"/>
                <w:color w:val="000000"/>
                <w:sz w:val="22"/>
                <w:szCs w:val="22"/>
              </w:rPr>
              <w:t xml:space="preserve"> </w:t>
            </w:r>
            <w:r w:rsidR="00616B67" w:rsidRPr="008E1CEA">
              <w:rPr>
                <w:rFonts w:ascii="Calibri" w:eastAsia="Calibri" w:hAnsi="Calibri" w:cs="Calibri"/>
                <w:color w:val="000000"/>
                <w:sz w:val="22"/>
                <w:szCs w:val="22"/>
              </w:rPr>
              <w:t>(</w:t>
            </w:r>
            <w:r>
              <w:rPr>
                <w:rFonts w:ascii="Calibri" w:eastAsia="Calibri" w:hAnsi="Calibri" w:cs="Calibri"/>
                <w:color w:val="000000"/>
                <w:sz w:val="22"/>
                <w:szCs w:val="22"/>
              </w:rPr>
              <w:t>33</w:t>
            </w:r>
            <w:r w:rsidR="00616B67" w:rsidRPr="008E1CEA">
              <w:rPr>
                <w:rFonts w:ascii="Calibri" w:eastAsia="Calibri" w:hAnsi="Calibri" w:cs="Calibri"/>
                <w:color w:val="000000"/>
                <w:sz w:val="22"/>
                <w:szCs w:val="22"/>
              </w:rPr>
              <w:t>%)</w:t>
            </w:r>
          </w:p>
        </w:tc>
        <w:tc>
          <w:tcPr>
            <w:tcW w:w="2410" w:type="dxa"/>
            <w:shd w:val="clear" w:color="auto" w:fill="DBE5F1" w:themeFill="accent1" w:themeFillTint="33"/>
          </w:tcPr>
          <w:p w:rsidR="00616B67" w:rsidRPr="008E1CEA" w:rsidRDefault="004E1070" w:rsidP="004E1070">
            <w:pPr>
              <w:autoSpaceDE w:val="0"/>
              <w:autoSpaceDN w:val="0"/>
              <w:adjustRightInd w:val="0"/>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 xml:space="preserve"> 1 (11%)</w:t>
            </w:r>
          </w:p>
        </w:tc>
      </w:tr>
    </w:tbl>
    <w:p w:rsidR="00D812A6" w:rsidRPr="00D812A6" w:rsidRDefault="00D812A6" w:rsidP="00D812A6">
      <w:pPr>
        <w:jc w:val="center"/>
        <w:rPr>
          <w:rFonts w:ascii="Calibri" w:hAnsi="Calibri" w:cs="Calibri"/>
          <w:b/>
          <w:sz w:val="8"/>
          <w:szCs w:val="8"/>
        </w:rPr>
      </w:pPr>
    </w:p>
    <w:p w:rsidR="00510BCF" w:rsidRDefault="006274E1" w:rsidP="00510BCF">
      <w:pPr>
        <w:jc w:val="center"/>
        <w:rPr>
          <w:rFonts w:ascii="Calibri" w:hAnsi="Calibri" w:cs="Calibri"/>
          <w:sz w:val="20"/>
        </w:rPr>
      </w:pPr>
      <w:r>
        <w:rPr>
          <w:rFonts w:ascii="Calibri" w:hAnsi="Calibri" w:cs="Calibri"/>
          <w:b/>
          <w:sz w:val="20"/>
        </w:rPr>
        <w:t>Figure 9</w:t>
      </w:r>
      <w:r w:rsidR="00D812A6" w:rsidRPr="005C674B">
        <w:rPr>
          <w:rFonts w:ascii="Calibri" w:hAnsi="Calibri" w:cs="Calibri"/>
          <w:sz w:val="20"/>
        </w:rPr>
        <w:t xml:space="preserve">: </w:t>
      </w:r>
      <w:r w:rsidR="00D812A6">
        <w:rPr>
          <w:rFonts w:ascii="Calibri" w:hAnsi="Calibri" w:cs="Calibri"/>
          <w:sz w:val="20"/>
        </w:rPr>
        <w:t>Summary of performance against economic indicators in 2013/14</w:t>
      </w:r>
    </w:p>
    <w:p w:rsidR="00AA0A89" w:rsidRPr="00D812A6" w:rsidRDefault="00AA0A89" w:rsidP="00AD73A3">
      <w:pPr>
        <w:autoSpaceDE w:val="0"/>
        <w:autoSpaceDN w:val="0"/>
        <w:adjustRightInd w:val="0"/>
        <w:jc w:val="both"/>
        <w:rPr>
          <w:b/>
          <w:noProof/>
          <w:sz w:val="32"/>
          <w:szCs w:val="32"/>
          <w:lang w:eastAsia="en-GB"/>
        </w:rPr>
      </w:pPr>
    </w:p>
    <w:p w:rsidR="00AA0A89" w:rsidRPr="005A27B9" w:rsidRDefault="006274E1" w:rsidP="004335B5">
      <w:pPr>
        <w:numPr>
          <w:ilvl w:val="0"/>
          <w:numId w:val="8"/>
        </w:numPr>
        <w:spacing w:after="200" w:line="276" w:lineRule="auto"/>
        <w:jc w:val="both"/>
        <w:rPr>
          <w:rFonts w:ascii="Calibri" w:hAnsi="Calibri" w:cs="Calibri"/>
          <w:sz w:val="22"/>
          <w:szCs w:val="22"/>
        </w:rPr>
      </w:pPr>
      <w:r w:rsidRPr="00AA0A89">
        <w:rPr>
          <w:rFonts w:ascii="Calibri" w:hAnsi="Calibri" w:cs="Calibri"/>
          <w:sz w:val="22"/>
          <w:szCs w:val="22"/>
        </w:rPr>
        <w:t>Figure 9</w:t>
      </w:r>
      <w:r w:rsidR="007D38A2" w:rsidRPr="00AA0A89">
        <w:rPr>
          <w:rFonts w:ascii="Calibri" w:hAnsi="Calibri" w:cs="Calibri"/>
          <w:sz w:val="22"/>
          <w:szCs w:val="22"/>
        </w:rPr>
        <w:t xml:space="preserve"> shows that the majority of economi</w:t>
      </w:r>
      <w:r w:rsidR="005A27B9">
        <w:rPr>
          <w:rFonts w:ascii="Calibri" w:hAnsi="Calibri" w:cs="Calibri"/>
          <w:sz w:val="22"/>
          <w:szCs w:val="22"/>
        </w:rPr>
        <w:t>c indicators met, or made</w:t>
      </w:r>
      <w:r w:rsidR="007D38A2" w:rsidRPr="00AA0A89">
        <w:rPr>
          <w:rFonts w:ascii="Calibri" w:hAnsi="Calibri" w:cs="Calibri"/>
          <w:sz w:val="22"/>
          <w:szCs w:val="22"/>
        </w:rPr>
        <w:t xml:space="preserve"> progress towards meeting, their targets in the 2013/14 monitoring period.</w:t>
      </w:r>
      <w:r w:rsidR="008D3370" w:rsidRPr="00AA0A89">
        <w:rPr>
          <w:rFonts w:ascii="Calibri" w:hAnsi="Calibri" w:cs="Calibri"/>
          <w:sz w:val="22"/>
          <w:szCs w:val="22"/>
        </w:rPr>
        <w:t xml:space="preserve"> </w:t>
      </w:r>
      <w:r w:rsidR="008D3370" w:rsidRPr="005A27B9">
        <w:rPr>
          <w:rFonts w:ascii="Calibri" w:hAnsi="Calibri" w:cs="Calibri"/>
          <w:sz w:val="22"/>
          <w:szCs w:val="22"/>
        </w:rPr>
        <w:t xml:space="preserve">Key economic targets </w:t>
      </w:r>
      <w:r w:rsidR="005A27B9">
        <w:rPr>
          <w:rFonts w:ascii="Calibri" w:hAnsi="Calibri" w:cs="Calibri"/>
          <w:sz w:val="22"/>
          <w:szCs w:val="22"/>
        </w:rPr>
        <w:t>met include</w:t>
      </w:r>
      <w:r w:rsidR="00AA0A89" w:rsidRPr="005A27B9">
        <w:rPr>
          <w:rFonts w:ascii="Calibri" w:hAnsi="Calibri" w:cs="Calibri"/>
          <w:sz w:val="22"/>
          <w:szCs w:val="22"/>
        </w:rPr>
        <w:t>:</w:t>
      </w:r>
    </w:p>
    <w:p w:rsidR="00AA0A89" w:rsidRPr="00AA0A89" w:rsidRDefault="00AA0A89"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0A89">
        <w:rPr>
          <w:rFonts w:ascii="Calibri" w:hAnsi="Calibri" w:cs="Calibri"/>
          <w:sz w:val="22"/>
          <w:szCs w:val="22"/>
        </w:rPr>
        <w:t xml:space="preserve">A good supply of employment land </w:t>
      </w:r>
      <w:r w:rsidRPr="00901791">
        <w:rPr>
          <w:rFonts w:ascii="Calibri" w:hAnsi="Calibri" w:cs="Calibri"/>
          <w:sz w:val="22"/>
          <w:szCs w:val="22"/>
        </w:rPr>
        <w:t>(</w:t>
      </w:r>
      <w:r w:rsidRPr="00901791">
        <w:rPr>
          <w:rFonts w:ascii="Calibri" w:eastAsia="Calibri" w:hAnsi="Calibri" w:cs="Times New Roman"/>
          <w:sz w:val="22"/>
          <w:szCs w:val="22"/>
        </w:rPr>
        <w:t>240.45 ha</w:t>
      </w:r>
      <w:r w:rsidRPr="00AA0A89">
        <w:rPr>
          <w:rFonts w:ascii="Calibri" w:eastAsia="Calibri" w:hAnsi="Calibri" w:cs="Times New Roman"/>
          <w:sz w:val="22"/>
          <w:szCs w:val="22"/>
        </w:rPr>
        <w:t>)</w:t>
      </w:r>
      <w:r w:rsidRPr="00AA0A89">
        <w:rPr>
          <w:rFonts w:ascii="Calibri" w:eastAsia="Calibri" w:hAnsi="Calibri" w:cs="Times New Roman"/>
          <w:sz w:val="20"/>
          <w:szCs w:val="22"/>
        </w:rPr>
        <w:t xml:space="preserve"> </w:t>
      </w:r>
      <w:r w:rsidRPr="00AA0A89">
        <w:rPr>
          <w:rFonts w:ascii="Calibri" w:hAnsi="Calibri" w:cs="Calibri"/>
          <w:sz w:val="22"/>
          <w:szCs w:val="22"/>
        </w:rPr>
        <w:t>to support economic growth up to 2026.</w:t>
      </w:r>
    </w:p>
    <w:p w:rsidR="00AA0A89" w:rsidRPr="00AA0A89" w:rsidRDefault="00AA0A89"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0A89">
        <w:rPr>
          <w:rFonts w:ascii="Calibri" w:hAnsi="Calibri" w:cs="Calibri"/>
          <w:sz w:val="22"/>
          <w:szCs w:val="22"/>
        </w:rPr>
        <w:t>100% of employment development completed on previously developed land.</w:t>
      </w:r>
    </w:p>
    <w:p w:rsidR="00AA0A89" w:rsidRPr="00AA0A89" w:rsidRDefault="00AA0A89"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0A89">
        <w:rPr>
          <w:rFonts w:ascii="Calibri" w:hAnsi="Calibri" w:cs="Calibri"/>
          <w:sz w:val="22"/>
          <w:szCs w:val="22"/>
        </w:rPr>
        <w:t>No loss of key employment site</w:t>
      </w:r>
      <w:r w:rsidR="00A52982">
        <w:rPr>
          <w:rFonts w:ascii="Calibri" w:hAnsi="Calibri" w:cs="Calibri"/>
          <w:sz w:val="22"/>
          <w:szCs w:val="22"/>
        </w:rPr>
        <w:t>s</w:t>
      </w:r>
      <w:r w:rsidR="004B7A8D">
        <w:rPr>
          <w:rFonts w:ascii="Calibri" w:hAnsi="Calibri" w:cs="Calibri"/>
          <w:sz w:val="22"/>
          <w:szCs w:val="22"/>
        </w:rPr>
        <w:t>.</w:t>
      </w:r>
      <w:r w:rsidRPr="00AA0A89">
        <w:rPr>
          <w:rFonts w:ascii="Calibri" w:hAnsi="Calibri" w:cs="Calibri"/>
          <w:sz w:val="22"/>
          <w:szCs w:val="22"/>
        </w:rPr>
        <w:t xml:space="preserve"> </w:t>
      </w:r>
    </w:p>
    <w:p w:rsidR="00AA0A89" w:rsidRDefault="00AA0A89"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0A89">
        <w:rPr>
          <w:rFonts w:ascii="Calibri" w:hAnsi="Calibri" w:cs="Calibri"/>
          <w:sz w:val="22"/>
          <w:szCs w:val="22"/>
        </w:rPr>
        <w:t>Two Oxford University medical research buildings completed on University owned land</w:t>
      </w:r>
      <w:r w:rsidR="00555D64">
        <w:rPr>
          <w:rFonts w:ascii="Calibri" w:hAnsi="Calibri" w:cs="Calibri"/>
          <w:sz w:val="22"/>
          <w:szCs w:val="22"/>
        </w:rPr>
        <w:t>, and outline permission granted for a major D1 research development at the Old Road campus</w:t>
      </w:r>
      <w:r w:rsidRPr="00AA0A89">
        <w:rPr>
          <w:rFonts w:ascii="Calibri" w:hAnsi="Calibri" w:cs="Calibri"/>
          <w:sz w:val="22"/>
          <w:szCs w:val="22"/>
        </w:rPr>
        <w:t>.</w:t>
      </w:r>
    </w:p>
    <w:p w:rsidR="004B7A8D" w:rsidRPr="001F7115" w:rsidRDefault="00AA0A89" w:rsidP="001F711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0A89">
        <w:rPr>
          <w:rFonts w:ascii="Calibri" w:hAnsi="Calibri" w:cs="Calibri"/>
          <w:sz w:val="22"/>
          <w:szCs w:val="22"/>
        </w:rPr>
        <w:t xml:space="preserve">Net </w:t>
      </w:r>
      <w:proofErr w:type="gramStart"/>
      <w:r w:rsidRPr="00AA0A89">
        <w:rPr>
          <w:rFonts w:ascii="Calibri" w:hAnsi="Calibri" w:cs="Calibri"/>
          <w:sz w:val="22"/>
          <w:szCs w:val="22"/>
        </w:rPr>
        <w:t>increase in short stay</w:t>
      </w:r>
      <w:proofErr w:type="gramEnd"/>
      <w:r w:rsidR="008E1CEA">
        <w:rPr>
          <w:rFonts w:ascii="Calibri" w:hAnsi="Calibri" w:cs="Calibri"/>
          <w:sz w:val="22"/>
          <w:szCs w:val="22"/>
        </w:rPr>
        <w:t xml:space="preserve"> accommodation bedrooms in the c</w:t>
      </w:r>
      <w:r w:rsidRPr="00AA0A89">
        <w:rPr>
          <w:rFonts w:ascii="Calibri" w:hAnsi="Calibri" w:cs="Calibri"/>
          <w:sz w:val="22"/>
          <w:szCs w:val="22"/>
        </w:rPr>
        <w:t>ity</w:t>
      </w:r>
      <w:r w:rsidR="004B7A8D">
        <w:rPr>
          <w:rFonts w:ascii="Calibri" w:hAnsi="Calibri" w:cs="Calibri"/>
          <w:sz w:val="22"/>
          <w:szCs w:val="22"/>
        </w:rPr>
        <w:t>.</w:t>
      </w:r>
    </w:p>
    <w:p w:rsidR="00AA1760" w:rsidRDefault="00AA1760" w:rsidP="004335B5">
      <w:pPr>
        <w:numPr>
          <w:ilvl w:val="0"/>
          <w:numId w:val="8"/>
        </w:numPr>
        <w:spacing w:after="200" w:line="276" w:lineRule="auto"/>
        <w:jc w:val="both"/>
        <w:rPr>
          <w:rFonts w:ascii="Calibri" w:hAnsi="Calibri" w:cs="Calibri"/>
          <w:sz w:val="22"/>
          <w:szCs w:val="22"/>
        </w:rPr>
      </w:pPr>
      <w:r>
        <w:rPr>
          <w:rFonts w:ascii="Calibri" w:hAnsi="Calibri" w:cs="Calibri"/>
          <w:sz w:val="22"/>
          <w:szCs w:val="22"/>
        </w:rPr>
        <w:t>There were however, a number of indicators that scored an amber rating, indicating limited progress towards targets:</w:t>
      </w:r>
    </w:p>
    <w:p w:rsidR="00D45D5E" w:rsidRPr="00AD7955" w:rsidRDefault="003161C9" w:rsidP="00AD7955">
      <w:pPr>
        <w:pStyle w:val="ListParagraph"/>
        <w:numPr>
          <w:ilvl w:val="0"/>
          <w:numId w:val="26"/>
        </w:numPr>
        <w:spacing w:after="200" w:line="276" w:lineRule="auto"/>
        <w:jc w:val="both"/>
        <w:rPr>
          <w:rFonts w:ascii="Calibri" w:hAnsi="Calibri" w:cs="Calibri"/>
          <w:sz w:val="22"/>
          <w:szCs w:val="22"/>
        </w:rPr>
      </w:pPr>
      <w:r w:rsidRPr="00AA1760">
        <w:rPr>
          <w:rFonts w:ascii="Calibri" w:hAnsi="Calibri" w:cs="Calibri"/>
          <w:sz w:val="22"/>
          <w:szCs w:val="22"/>
        </w:rPr>
        <w:t>Oxford’s city and district c</w:t>
      </w:r>
      <w:r w:rsidR="00DC6CE7" w:rsidRPr="00AA1760">
        <w:rPr>
          <w:rFonts w:ascii="Calibri" w:hAnsi="Calibri" w:cs="Calibri"/>
          <w:sz w:val="22"/>
          <w:szCs w:val="22"/>
        </w:rPr>
        <w:t xml:space="preserve">entres continue to provide a high proportion of retail units, with the majority meeting, or within 1%, of Local Development Plan targets. The exception to this is </w:t>
      </w:r>
      <w:proofErr w:type="spellStart"/>
      <w:r w:rsidR="00DC6CE7" w:rsidRPr="00AA1760">
        <w:rPr>
          <w:rFonts w:ascii="Calibri" w:hAnsi="Calibri" w:cs="Calibri"/>
          <w:sz w:val="22"/>
          <w:szCs w:val="22"/>
        </w:rPr>
        <w:t>Cowley</w:t>
      </w:r>
      <w:proofErr w:type="spellEnd"/>
      <w:r w:rsidR="00DC6CE7" w:rsidRPr="00AA1760">
        <w:rPr>
          <w:rFonts w:ascii="Calibri" w:hAnsi="Calibri" w:cs="Calibri"/>
          <w:sz w:val="22"/>
          <w:szCs w:val="22"/>
        </w:rPr>
        <w:t xml:space="preserve"> Road where there are a much higher proportion of food and drink units (Classes A3, A4 and A5)</w:t>
      </w:r>
      <w:r w:rsidR="00AA1760">
        <w:rPr>
          <w:rFonts w:ascii="Calibri" w:hAnsi="Calibri" w:cs="Calibri"/>
          <w:sz w:val="22"/>
          <w:szCs w:val="22"/>
        </w:rPr>
        <w:t>.</w:t>
      </w:r>
    </w:p>
    <w:p w:rsidR="00AA1760" w:rsidRDefault="00AA1760"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1760">
        <w:rPr>
          <w:rFonts w:ascii="Calibri" w:hAnsi="Calibri" w:cs="Calibri"/>
          <w:sz w:val="22"/>
          <w:szCs w:val="22"/>
        </w:rPr>
        <w:t xml:space="preserve"> </w:t>
      </w:r>
      <w:r w:rsidRPr="00AA0A89">
        <w:rPr>
          <w:rFonts w:ascii="Calibri" w:hAnsi="Calibri" w:cs="Calibri"/>
          <w:sz w:val="22"/>
          <w:szCs w:val="22"/>
        </w:rPr>
        <w:t xml:space="preserve">Planning permission </w:t>
      </w:r>
      <w:r>
        <w:rPr>
          <w:rFonts w:ascii="Calibri" w:hAnsi="Calibri" w:cs="Calibri"/>
          <w:sz w:val="22"/>
          <w:szCs w:val="22"/>
        </w:rPr>
        <w:t xml:space="preserve">was </w:t>
      </w:r>
      <w:r w:rsidRPr="00AA0A89">
        <w:rPr>
          <w:rFonts w:ascii="Calibri" w:hAnsi="Calibri" w:cs="Calibri"/>
          <w:sz w:val="22"/>
          <w:szCs w:val="22"/>
        </w:rPr>
        <w:t xml:space="preserve">granted for </w:t>
      </w:r>
      <w:r>
        <w:rPr>
          <w:rFonts w:ascii="Calibri" w:hAnsi="Calibri" w:cs="Calibri"/>
          <w:sz w:val="22"/>
          <w:szCs w:val="22"/>
        </w:rPr>
        <w:t xml:space="preserve">a small amount of </w:t>
      </w:r>
      <w:r w:rsidRPr="00AA0A89">
        <w:rPr>
          <w:rFonts w:ascii="Calibri" w:hAnsi="Calibri" w:cs="Calibri"/>
          <w:sz w:val="22"/>
          <w:szCs w:val="22"/>
        </w:rPr>
        <w:t>new Class B</w:t>
      </w:r>
      <w:r>
        <w:rPr>
          <w:rFonts w:ascii="Calibri" w:hAnsi="Calibri" w:cs="Calibri"/>
          <w:sz w:val="22"/>
          <w:szCs w:val="22"/>
        </w:rPr>
        <w:t>1 uses. However there are other significant</w:t>
      </w:r>
      <w:r w:rsidRPr="00AA0A89">
        <w:rPr>
          <w:rFonts w:ascii="Calibri" w:hAnsi="Calibri" w:cs="Calibri"/>
          <w:sz w:val="22"/>
          <w:szCs w:val="22"/>
        </w:rPr>
        <w:t xml:space="preserve"> employment generating applications in the pipeline (e.g. Northern Gate</w:t>
      </w:r>
      <w:r>
        <w:rPr>
          <w:rFonts w:ascii="Calibri" w:hAnsi="Calibri" w:cs="Calibri"/>
          <w:sz w:val="22"/>
          <w:szCs w:val="22"/>
        </w:rPr>
        <w:t xml:space="preserve">way, </w:t>
      </w:r>
      <w:proofErr w:type="spellStart"/>
      <w:r>
        <w:rPr>
          <w:rFonts w:ascii="Calibri" w:hAnsi="Calibri" w:cs="Calibri"/>
          <w:sz w:val="22"/>
          <w:szCs w:val="22"/>
        </w:rPr>
        <w:t>Oxpens</w:t>
      </w:r>
      <w:proofErr w:type="spellEnd"/>
      <w:r>
        <w:rPr>
          <w:rFonts w:ascii="Calibri" w:hAnsi="Calibri" w:cs="Calibri"/>
          <w:sz w:val="22"/>
          <w:szCs w:val="22"/>
        </w:rPr>
        <w:t xml:space="preserve"> and Oxford Station).</w:t>
      </w:r>
    </w:p>
    <w:p w:rsidR="00AA1760" w:rsidRPr="00AA1760" w:rsidRDefault="00AA1760" w:rsidP="004335B5">
      <w:pPr>
        <w:pStyle w:val="ListParagraph"/>
        <w:numPr>
          <w:ilvl w:val="0"/>
          <w:numId w:val="18"/>
        </w:numPr>
        <w:autoSpaceDE w:val="0"/>
        <w:autoSpaceDN w:val="0"/>
        <w:adjustRightInd w:val="0"/>
        <w:spacing w:after="120" w:line="276" w:lineRule="auto"/>
        <w:ind w:left="1077" w:hanging="357"/>
        <w:contextualSpacing w:val="0"/>
        <w:jc w:val="both"/>
        <w:rPr>
          <w:rFonts w:ascii="Calibri" w:hAnsi="Calibri" w:cs="Calibri"/>
          <w:sz w:val="22"/>
          <w:szCs w:val="22"/>
        </w:rPr>
      </w:pPr>
      <w:r w:rsidRPr="00AA1760">
        <w:rPr>
          <w:rFonts w:ascii="Calibri" w:hAnsi="Calibri" w:cs="Calibri"/>
          <w:sz w:val="22"/>
          <w:szCs w:val="22"/>
        </w:rPr>
        <w:t>Retail development permitted on the strategic site at Barton does not fall within Oxford’s retail hierarchy as set out by Core Strategy Policy CS31. However,</w:t>
      </w:r>
      <w:r>
        <w:rPr>
          <w:rFonts w:ascii="Calibri" w:hAnsi="Calibri" w:cs="Calibri"/>
          <w:sz w:val="22"/>
          <w:szCs w:val="22"/>
        </w:rPr>
        <w:t xml:space="preserve"> the </w:t>
      </w:r>
      <w:r w:rsidRPr="00AA1760">
        <w:rPr>
          <w:rFonts w:ascii="Calibri" w:hAnsi="Calibri" w:cs="Calibri"/>
          <w:sz w:val="22"/>
          <w:szCs w:val="22"/>
        </w:rPr>
        <w:t>inclusion of retail development within a wider residential scheme was seen to</w:t>
      </w:r>
      <w:r w:rsidRPr="00AA1760">
        <w:rPr>
          <w:rFonts w:ascii="Calibri" w:eastAsia="Calibri" w:hAnsi="Calibri" w:cs="Calibri"/>
          <w:bCs/>
          <w:color w:val="000000"/>
          <w:sz w:val="22"/>
          <w:szCs w:val="22"/>
        </w:rPr>
        <w:t xml:space="preserve"> promote the creation of a sustainable new community, rather than simply a vast new housing</w:t>
      </w:r>
      <w:r>
        <w:rPr>
          <w:rFonts w:ascii="Calibri" w:eastAsia="Calibri" w:hAnsi="Calibri" w:cs="Calibri"/>
          <w:bCs/>
          <w:color w:val="000000"/>
          <w:sz w:val="22"/>
          <w:szCs w:val="22"/>
        </w:rPr>
        <w:t xml:space="preserve"> estate. The</w:t>
      </w:r>
      <w:r w:rsidRPr="00AA1760">
        <w:rPr>
          <w:rFonts w:ascii="Calibri" w:eastAsia="Calibri" w:hAnsi="Calibri" w:cs="Calibri"/>
          <w:bCs/>
          <w:color w:val="000000"/>
          <w:sz w:val="22"/>
          <w:szCs w:val="22"/>
        </w:rPr>
        <w:t xml:space="preserve"> decision was underpinned by robust evidence, including a retail assessment.</w:t>
      </w:r>
    </w:p>
    <w:p w:rsidR="00AD7955" w:rsidRDefault="00AA1760" w:rsidP="00AD7955">
      <w:pPr>
        <w:numPr>
          <w:ilvl w:val="0"/>
          <w:numId w:val="8"/>
        </w:num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Indicator 4 was the only economic indicator to score a red rating for underperformance against the target. This is because</w:t>
      </w:r>
      <w:r w:rsidR="00FC705A">
        <w:rPr>
          <w:rFonts w:ascii="Calibri" w:eastAsia="Calibri" w:hAnsi="Calibri" w:cs="Calibri"/>
          <w:color w:val="000000"/>
          <w:sz w:val="22"/>
          <w:szCs w:val="22"/>
        </w:rPr>
        <w:t xml:space="preserve"> no employment developments were completed on alloc</w:t>
      </w:r>
      <w:r>
        <w:rPr>
          <w:rFonts w:ascii="Calibri" w:eastAsia="Calibri" w:hAnsi="Calibri" w:cs="Calibri"/>
          <w:color w:val="000000"/>
          <w:sz w:val="22"/>
          <w:szCs w:val="22"/>
        </w:rPr>
        <w:t>ated sites in 2013/14. However,</w:t>
      </w:r>
      <w:r w:rsidR="00FC705A">
        <w:rPr>
          <w:rFonts w:ascii="Calibri" w:eastAsia="Calibri" w:hAnsi="Calibri" w:cs="Calibri"/>
          <w:color w:val="000000"/>
          <w:sz w:val="22"/>
          <w:szCs w:val="22"/>
        </w:rPr>
        <w:t xml:space="preserve"> it is anticipated that the situation will improve in subsequent monitoring</w:t>
      </w:r>
      <w:r>
        <w:rPr>
          <w:rFonts w:ascii="Calibri" w:eastAsia="Calibri" w:hAnsi="Calibri" w:cs="Calibri"/>
          <w:color w:val="000000"/>
          <w:sz w:val="22"/>
          <w:szCs w:val="22"/>
        </w:rPr>
        <w:t xml:space="preserve"> years as p</w:t>
      </w:r>
      <w:r w:rsidR="00FC705A">
        <w:rPr>
          <w:rFonts w:ascii="Calibri" w:eastAsia="Calibri" w:hAnsi="Calibri" w:cs="Calibri"/>
          <w:color w:val="000000"/>
          <w:sz w:val="22"/>
          <w:szCs w:val="22"/>
        </w:rPr>
        <w:t xml:space="preserve">lanning permission was granted in August 2014 for medical research facilities, including office space, at the John Radcliffe Hospital (planning application reference 13/03369/FUL). Planning applications for the Former Travis Perkins Site on Chapel Road and </w:t>
      </w:r>
      <w:proofErr w:type="spellStart"/>
      <w:r w:rsidR="00FC705A">
        <w:rPr>
          <w:rFonts w:ascii="Calibri" w:eastAsia="Calibri" w:hAnsi="Calibri" w:cs="Calibri"/>
          <w:color w:val="000000"/>
          <w:sz w:val="22"/>
          <w:szCs w:val="22"/>
        </w:rPr>
        <w:t>Wolvercote</w:t>
      </w:r>
      <w:proofErr w:type="spellEnd"/>
      <w:r w:rsidR="00FC705A">
        <w:rPr>
          <w:rFonts w:ascii="Calibri" w:eastAsia="Calibri" w:hAnsi="Calibri" w:cs="Calibri"/>
          <w:color w:val="000000"/>
          <w:sz w:val="22"/>
          <w:szCs w:val="22"/>
        </w:rPr>
        <w:t xml:space="preserve"> Paper Mill were also under consideration at the time of writing</w:t>
      </w:r>
      <w:r>
        <w:rPr>
          <w:rFonts w:ascii="Calibri" w:eastAsia="Calibri" w:hAnsi="Calibri" w:cs="Calibri"/>
          <w:color w:val="000000"/>
          <w:sz w:val="22"/>
          <w:szCs w:val="22"/>
        </w:rPr>
        <w:t>, with b</w:t>
      </w:r>
      <w:r w:rsidR="00FC705A">
        <w:rPr>
          <w:rFonts w:ascii="Calibri" w:eastAsia="Calibri" w:hAnsi="Calibri" w:cs="Calibri"/>
          <w:color w:val="000000"/>
          <w:sz w:val="22"/>
          <w:szCs w:val="22"/>
        </w:rPr>
        <w:t xml:space="preserve">oth </w:t>
      </w:r>
      <w:r>
        <w:rPr>
          <w:rFonts w:ascii="Calibri" w:eastAsia="Calibri" w:hAnsi="Calibri" w:cs="Calibri"/>
          <w:color w:val="000000"/>
          <w:sz w:val="22"/>
          <w:szCs w:val="22"/>
        </w:rPr>
        <w:t>applications including</w:t>
      </w:r>
      <w:r w:rsidR="00FC705A">
        <w:rPr>
          <w:rFonts w:ascii="Calibri" w:eastAsia="Calibri" w:hAnsi="Calibri" w:cs="Calibri"/>
          <w:color w:val="000000"/>
          <w:sz w:val="22"/>
          <w:szCs w:val="22"/>
        </w:rPr>
        <w:t xml:space="preserve"> employment uses.</w:t>
      </w:r>
      <w:r w:rsidR="00B35376">
        <w:rPr>
          <w:rFonts w:ascii="Calibri" w:eastAsia="Calibri" w:hAnsi="Calibri" w:cs="Calibri"/>
          <w:color w:val="000000"/>
          <w:sz w:val="22"/>
          <w:szCs w:val="22"/>
        </w:rPr>
        <w:t xml:space="preserve">  It is also relevant to note that this indicator relates to B-class employment uses, but other developments such as the Old Road campus will generate additi</w:t>
      </w:r>
      <w:r w:rsidR="001F7115">
        <w:rPr>
          <w:rFonts w:ascii="Calibri" w:eastAsia="Calibri" w:hAnsi="Calibri" w:cs="Calibri"/>
          <w:color w:val="000000"/>
          <w:sz w:val="22"/>
          <w:szCs w:val="22"/>
        </w:rPr>
        <w:t>onal employment in the city.</w:t>
      </w:r>
    </w:p>
    <w:p w:rsidR="00A33A99" w:rsidRPr="00AD7955" w:rsidRDefault="00280EB5" w:rsidP="00AD7955">
      <w:pPr>
        <w:spacing w:after="200" w:line="276" w:lineRule="auto"/>
        <w:jc w:val="both"/>
        <w:rPr>
          <w:rFonts w:ascii="Calibri" w:eastAsia="Calibri" w:hAnsi="Calibri" w:cs="Calibri"/>
          <w:color w:val="000000"/>
          <w:sz w:val="22"/>
          <w:szCs w:val="22"/>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52448" behindDoc="0" locked="0" layoutInCell="1" allowOverlap="1" wp14:anchorId="26BB0325" wp14:editId="6F745B02">
                <wp:simplePos x="0" y="0"/>
                <wp:positionH relativeFrom="column">
                  <wp:posOffset>3449955</wp:posOffset>
                </wp:positionH>
                <wp:positionV relativeFrom="paragraph">
                  <wp:posOffset>-483870</wp:posOffset>
                </wp:positionV>
                <wp:extent cx="2427605" cy="3524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0EB5">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1" type="#_x0000_t202" style="position:absolute;left:0;text-align:left;margin-left:271.65pt;margin-top:-38.1pt;width:191.15pt;height:27.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" fillcolor="window" stroked="f" strokeweight=".5pt">
                <v:textbox>
                  <w:txbxContent>
                    <w:p w:rsidR="000D3CFF" w:rsidRPr="00280EB5" w:rsidRDefault="000D3CFF" w:rsidP="00280EB5">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B6465D" w:rsidRPr="00AD7955">
        <w:rPr>
          <w:rFonts w:ascii="Calibri" w:eastAsia="Calibri" w:hAnsi="Calibri" w:cs="Calibri"/>
          <w:b/>
          <w:color w:val="984806" w:themeColor="accent6" w:themeShade="80"/>
          <w:sz w:val="32"/>
          <w:szCs w:val="32"/>
        </w:rPr>
        <w:t>Meeting Housing Needs</w:t>
      </w:r>
    </w:p>
    <w:p w:rsidR="00EB7875" w:rsidRPr="00B6465D" w:rsidRDefault="001C6C21" w:rsidP="00EB7875">
      <w:pPr>
        <w:autoSpaceDE w:val="0"/>
        <w:autoSpaceDN w:val="0"/>
        <w:adjustRightInd w:val="0"/>
        <w:jc w:val="both"/>
        <w:rPr>
          <w:rFonts w:ascii="Calibri" w:eastAsia="Calibri" w:hAnsi="Calibri" w:cs="Calibri"/>
          <w:color w:val="984806" w:themeColor="accent6" w:themeShade="80"/>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77696" behindDoc="1" locked="0" layoutInCell="1" allowOverlap="1" wp14:anchorId="5DD4613F" wp14:editId="37A3A1F4">
                <wp:simplePos x="0" y="0"/>
                <wp:positionH relativeFrom="column">
                  <wp:posOffset>-66675</wp:posOffset>
                </wp:positionH>
                <wp:positionV relativeFrom="paragraph">
                  <wp:posOffset>142240</wp:posOffset>
                </wp:positionV>
                <wp:extent cx="5875655" cy="2114550"/>
                <wp:effectExtent l="0" t="0" r="0" b="0"/>
                <wp:wrapNone/>
                <wp:docPr id="66" name="Rectangle 66"/>
                <wp:cNvGraphicFramePr/>
                <a:graphic xmlns:a="http://schemas.openxmlformats.org/drawingml/2006/main">
                  <a:graphicData uri="http://schemas.microsoft.com/office/word/2010/wordprocessingShape">
                    <wps:wsp>
                      <wps:cNvSpPr/>
                      <wps:spPr>
                        <a:xfrm>
                          <a:off x="0" y="0"/>
                          <a:ext cx="5875655" cy="2114550"/>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5.25pt;margin-top:11.2pt;width:462.65pt;height:1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" fillcolor="#fbd4b4 [1305]" stroked="f" strokeweight="2pt"/>
            </w:pict>
          </mc:Fallback>
        </mc:AlternateContent>
      </w:r>
    </w:p>
    <w:p w:rsidR="008B20EB" w:rsidRDefault="00B6465D" w:rsidP="00B6465D">
      <w:pPr>
        <w:autoSpaceDE w:val="0"/>
        <w:autoSpaceDN w:val="0"/>
        <w:adjustRightInd w:val="0"/>
        <w:jc w:val="both"/>
        <w:rPr>
          <w:rFonts w:ascii="Calibri" w:eastAsia="Calibri" w:hAnsi="Calibri" w:cs="Calibri"/>
          <w:b/>
          <w:color w:val="984806" w:themeColor="accent6" w:themeShade="80"/>
        </w:rPr>
      </w:pPr>
      <w:r w:rsidRPr="00B6465D">
        <w:rPr>
          <w:rFonts w:ascii="Calibri" w:eastAsia="Calibri" w:hAnsi="Calibri" w:cs="Calibri"/>
          <w:b/>
          <w:color w:val="984806" w:themeColor="accent6" w:themeShade="80"/>
        </w:rPr>
        <w:t xml:space="preserve">Indicator </w:t>
      </w:r>
      <w:r>
        <w:rPr>
          <w:rFonts w:ascii="Calibri" w:eastAsia="Calibri" w:hAnsi="Calibri" w:cs="Calibri"/>
          <w:b/>
          <w:color w:val="984806" w:themeColor="accent6" w:themeShade="80"/>
        </w:rPr>
        <w:t xml:space="preserve">10: HOUSING TRAJECTORY </w:t>
      </w:r>
    </w:p>
    <w:p w:rsidR="00B6465D" w:rsidRPr="0028433A" w:rsidRDefault="00B6465D" w:rsidP="00B6465D">
      <w:pPr>
        <w:autoSpaceDE w:val="0"/>
        <w:autoSpaceDN w:val="0"/>
        <w:adjustRightInd w:val="0"/>
        <w:jc w:val="both"/>
        <w:rPr>
          <w:rFonts w:ascii="Calibri" w:eastAsia="Calibri" w:hAnsi="Calibri" w:cs="Calibri"/>
          <w:color w:val="984806" w:themeColor="accent6" w:themeShade="80"/>
          <w:sz w:val="22"/>
        </w:rPr>
      </w:pPr>
      <w:r w:rsidRPr="0028433A">
        <w:rPr>
          <w:rFonts w:ascii="Calibri" w:eastAsia="Calibri" w:hAnsi="Calibri" w:cs="Calibri"/>
          <w:color w:val="984806" w:themeColor="accent6" w:themeShade="80"/>
          <w:sz w:val="22"/>
        </w:rPr>
        <w:t>(Planned housing and provision, net additional dwellings in previous years, the reporting year and in future years plus the managed delivery target)</w:t>
      </w:r>
    </w:p>
    <w:p w:rsidR="00B6465D" w:rsidRPr="00B6465D" w:rsidRDefault="00B6465D" w:rsidP="00B6465D">
      <w:pPr>
        <w:autoSpaceDE w:val="0"/>
        <w:autoSpaceDN w:val="0"/>
        <w:adjustRightInd w:val="0"/>
        <w:jc w:val="both"/>
        <w:rPr>
          <w:rFonts w:ascii="Calibri" w:eastAsia="Calibri" w:hAnsi="Calibri" w:cs="Calibri"/>
          <w:b/>
          <w:color w:val="984806" w:themeColor="accent6" w:themeShade="80"/>
          <w:sz w:val="10"/>
          <w:szCs w:val="22"/>
        </w:rPr>
      </w:pPr>
    </w:p>
    <w:p w:rsidR="00B6465D" w:rsidRDefault="00B6465D" w:rsidP="00B6465D">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 xml:space="preserve">Target: </w:t>
      </w:r>
      <w:r>
        <w:rPr>
          <w:rFonts w:ascii="Calibri" w:eastAsia="Calibri" w:hAnsi="Calibri" w:cs="Calibri"/>
          <w:b/>
          <w:color w:val="984806" w:themeColor="accent6" w:themeShade="80"/>
          <w:sz w:val="22"/>
          <w:szCs w:val="22"/>
        </w:rPr>
        <w:t xml:space="preserve">8,000 </w:t>
      </w:r>
      <w:r w:rsidR="008B20EB">
        <w:rPr>
          <w:rFonts w:ascii="Calibri" w:eastAsia="Calibri" w:hAnsi="Calibri" w:cs="Calibri"/>
          <w:b/>
          <w:color w:val="984806" w:themeColor="accent6" w:themeShade="80"/>
          <w:sz w:val="22"/>
          <w:szCs w:val="22"/>
        </w:rPr>
        <w:t>dwellings between 2006 and 2026</w:t>
      </w:r>
    </w:p>
    <w:p w:rsidR="008B20EB" w:rsidRPr="008B20EB" w:rsidRDefault="00A234AB" w:rsidP="00B6465D">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color w:val="984806" w:themeColor="accent6" w:themeShade="80"/>
          <w:sz w:val="20"/>
          <w:szCs w:val="22"/>
        </w:rPr>
        <w:t>(Oxford Core Strategy</w:t>
      </w:r>
      <w:r w:rsidR="008B20EB">
        <w:rPr>
          <w:rFonts w:ascii="Calibri" w:eastAsia="Calibri" w:hAnsi="Calibri" w:cs="Calibri"/>
          <w:color w:val="984806" w:themeColor="accent6" w:themeShade="80"/>
          <w:sz w:val="20"/>
          <w:szCs w:val="22"/>
        </w:rPr>
        <w:t xml:space="preserve"> Policy CS22</w:t>
      </w:r>
      <w:r w:rsidR="008B20EB" w:rsidRPr="008B20EB">
        <w:rPr>
          <w:rFonts w:ascii="Calibri" w:eastAsia="Calibri" w:hAnsi="Calibri" w:cs="Calibri"/>
          <w:color w:val="984806" w:themeColor="accent6" w:themeShade="80"/>
          <w:sz w:val="20"/>
          <w:szCs w:val="22"/>
        </w:rPr>
        <w:t>)</w:t>
      </w:r>
    </w:p>
    <w:p w:rsidR="00B6465D" w:rsidRPr="00B6465D" w:rsidRDefault="00B6465D" w:rsidP="00B6465D">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B6465D" w:rsidRPr="00B6465D" w:rsidTr="00682A91">
        <w:trPr>
          <w:trHeight w:val="218"/>
        </w:trPr>
        <w:tc>
          <w:tcPr>
            <w:tcW w:w="5420" w:type="dxa"/>
          </w:tcPr>
          <w:p w:rsidR="00B6465D" w:rsidRPr="00B6465D" w:rsidRDefault="00B6465D" w:rsidP="00682A91">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B6465D" w:rsidRPr="00B6465D" w:rsidRDefault="00B6465D"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B6465D" w:rsidRPr="00B6465D" w:rsidTr="00682A91">
        <w:tc>
          <w:tcPr>
            <w:tcW w:w="5420" w:type="dxa"/>
            <w:vMerge w:val="restart"/>
          </w:tcPr>
          <w:p w:rsidR="00B6465D" w:rsidRPr="00B6465D" w:rsidRDefault="00B6465D" w:rsidP="00682A91">
            <w:pPr>
              <w:autoSpaceDE w:val="0"/>
              <w:autoSpaceDN w:val="0"/>
              <w:adjustRightInd w:val="0"/>
              <w:jc w:val="center"/>
              <w:rPr>
                <w:rFonts w:ascii="Calibri" w:eastAsia="Calibri" w:hAnsi="Calibri" w:cs="Calibri"/>
                <w:b/>
                <w:color w:val="984806" w:themeColor="accent6" w:themeShade="80"/>
                <w:sz w:val="8"/>
                <w:szCs w:val="8"/>
              </w:rPr>
            </w:pPr>
          </w:p>
          <w:p w:rsidR="00A50550" w:rsidRDefault="00A50550" w:rsidP="00682A91">
            <w:pPr>
              <w:autoSpaceDE w:val="0"/>
              <w:autoSpaceDN w:val="0"/>
              <w:adjustRightInd w:val="0"/>
              <w:jc w:val="center"/>
              <w:rPr>
                <w:rFonts w:ascii="Calibri" w:eastAsia="Calibri" w:hAnsi="Calibri" w:cs="Calibri"/>
                <w:color w:val="984806" w:themeColor="accent6" w:themeShade="80"/>
                <w:sz w:val="22"/>
                <w:szCs w:val="12"/>
              </w:rPr>
            </w:pPr>
          </w:p>
          <w:p w:rsidR="00B6465D" w:rsidRPr="00A50550" w:rsidRDefault="00A50550" w:rsidP="00682A91">
            <w:pPr>
              <w:autoSpaceDE w:val="0"/>
              <w:autoSpaceDN w:val="0"/>
              <w:adjustRightInd w:val="0"/>
              <w:jc w:val="center"/>
              <w:rPr>
                <w:rFonts w:ascii="Calibri" w:eastAsia="Calibri" w:hAnsi="Calibri" w:cs="Calibri"/>
                <w:color w:val="984806" w:themeColor="accent6" w:themeShade="80"/>
                <w:sz w:val="22"/>
                <w:szCs w:val="12"/>
              </w:rPr>
            </w:pPr>
            <w:r>
              <w:rPr>
                <w:rFonts w:ascii="Calibri" w:eastAsia="Calibri" w:hAnsi="Calibri" w:cs="Calibri"/>
                <w:color w:val="984806" w:themeColor="accent6" w:themeShade="80"/>
                <w:sz w:val="22"/>
                <w:szCs w:val="12"/>
              </w:rPr>
              <w:t>Awaiting SHLAA</w:t>
            </w:r>
          </w:p>
        </w:tc>
        <w:tc>
          <w:tcPr>
            <w:tcW w:w="1101" w:type="dxa"/>
          </w:tcPr>
          <w:p w:rsidR="00B6465D" w:rsidRPr="00B6465D" w:rsidRDefault="00B6465D"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B6465D" w:rsidRPr="00B6465D" w:rsidRDefault="00B6465D"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1B88CEFB" wp14:editId="6A7935A5">
                  <wp:extent cx="1085850" cy="326964"/>
                  <wp:effectExtent l="0" t="0" r="0" b="0"/>
                  <wp:docPr id="62" name="Picture 6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B6465D" w:rsidRPr="00B6465D" w:rsidRDefault="00B6465D" w:rsidP="00682A91">
            <w:pPr>
              <w:autoSpaceDE w:val="0"/>
              <w:autoSpaceDN w:val="0"/>
              <w:adjustRightInd w:val="0"/>
              <w:jc w:val="center"/>
              <w:rPr>
                <w:rFonts w:ascii="Calibri" w:eastAsia="Calibri" w:hAnsi="Calibri" w:cs="Calibri"/>
                <w:b/>
                <w:color w:val="984806" w:themeColor="accent6" w:themeShade="80"/>
                <w:sz w:val="8"/>
                <w:szCs w:val="8"/>
              </w:rPr>
            </w:pPr>
          </w:p>
        </w:tc>
      </w:tr>
      <w:tr w:rsidR="00B6465D" w:rsidRPr="00B6465D" w:rsidTr="00682A91">
        <w:tc>
          <w:tcPr>
            <w:tcW w:w="5420" w:type="dxa"/>
            <w:vMerge/>
          </w:tcPr>
          <w:p w:rsidR="00B6465D" w:rsidRPr="00B6465D" w:rsidRDefault="00B6465D" w:rsidP="00682A91">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B6465D" w:rsidRPr="00B6465D" w:rsidRDefault="00B6465D"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B6465D" w:rsidRPr="00B6465D" w:rsidRDefault="00B6465D"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470BD933" wp14:editId="2C9866B3">
                  <wp:extent cx="1085850" cy="326964"/>
                  <wp:effectExtent l="0" t="0" r="0" b="0"/>
                  <wp:docPr id="63" name="Picture 6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FE482E" w:rsidRPr="00FE482E" w:rsidRDefault="00FE482E" w:rsidP="00FE482E">
      <w:pPr>
        <w:spacing w:after="200" w:line="276" w:lineRule="auto"/>
        <w:jc w:val="both"/>
        <w:rPr>
          <w:rFonts w:ascii="Calibri" w:eastAsia="Calibri" w:hAnsi="Calibri" w:cs="Calibri"/>
          <w:sz w:val="22"/>
          <w:szCs w:val="22"/>
        </w:rPr>
      </w:pPr>
    </w:p>
    <w:p w:rsidR="001F7115" w:rsidRDefault="0034369D" w:rsidP="0034369D">
      <w:pPr>
        <w:numPr>
          <w:ilvl w:val="1"/>
          <w:numId w:val="9"/>
        </w:numPr>
        <w:autoSpaceDE w:val="0"/>
        <w:autoSpaceDN w:val="0"/>
        <w:adjustRightInd w:val="0"/>
        <w:spacing w:after="200" w:line="276" w:lineRule="auto"/>
        <w:ind w:right="5340"/>
        <w:jc w:val="both"/>
        <w:rPr>
          <w:rFonts w:ascii="Calibri" w:eastAsia="Calibri" w:hAnsi="Calibri" w:cs="Calibri"/>
          <w:sz w:val="22"/>
          <w:szCs w:val="22"/>
        </w:rPr>
      </w:pPr>
      <w:r>
        <w:rPr>
          <w:rFonts w:ascii="Calibri" w:eastAsia="Calibri" w:hAnsi="Calibri" w:cs="Calibri"/>
          <w:noProof/>
          <w:sz w:val="22"/>
          <w:szCs w:val="22"/>
          <w:lang w:eastAsia="en-GB"/>
        </w:rPr>
        <mc:AlternateContent>
          <mc:Choice Requires="wps">
            <w:drawing>
              <wp:anchor distT="0" distB="0" distL="114300" distR="114300" simplePos="0" relativeHeight="251890688" behindDoc="0" locked="0" layoutInCell="1" allowOverlap="1" wp14:anchorId="6DA8AD74" wp14:editId="7B131F77">
                <wp:simplePos x="0" y="0"/>
                <wp:positionH relativeFrom="column">
                  <wp:posOffset>2447925</wp:posOffset>
                </wp:positionH>
                <wp:positionV relativeFrom="paragraph">
                  <wp:posOffset>5715</wp:posOffset>
                </wp:positionV>
                <wp:extent cx="3429000" cy="2124075"/>
                <wp:effectExtent l="0" t="0" r="0" b="9525"/>
                <wp:wrapNone/>
                <wp:docPr id="236" name="Text Box 236"/>
                <wp:cNvGraphicFramePr/>
                <a:graphic xmlns:a="http://schemas.openxmlformats.org/drawingml/2006/main">
                  <a:graphicData uri="http://schemas.microsoft.com/office/word/2010/wordprocessingShape">
                    <wps:wsp>
                      <wps:cNvSpPr txBox="1"/>
                      <wps:spPr>
                        <a:xfrm>
                          <a:off x="0" y="0"/>
                          <a:ext cx="3429000" cy="212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103"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410"/>
                              <w:gridCol w:w="2693"/>
                            </w:tblGrid>
                            <w:tr w:rsidR="000D3CFF" w:rsidRPr="00856641"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rsidR="000D3CFF" w:rsidRPr="00856641"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Year</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rsidR="000D3CFF" w:rsidRPr="00856641" w:rsidRDefault="000D3CFF" w:rsidP="00DE64D9">
                                  <w:pPr>
                                    <w:jc w:val="center"/>
                                    <w:rPr>
                                      <w:rFonts w:ascii="Calibri" w:eastAsia="Calibri" w:hAnsi="Calibri" w:cs="Times New Roman"/>
                                      <w:b/>
                                      <w:color w:val="595959" w:themeColor="text1" w:themeTint="A6"/>
                                      <w:sz w:val="20"/>
                                      <w:szCs w:val="22"/>
                                    </w:rPr>
                                  </w:pPr>
                                  <w:r>
                                    <w:rPr>
                                      <w:rFonts w:ascii="Calibri" w:eastAsia="Calibri" w:hAnsi="Calibri" w:cs="Times New Roman"/>
                                      <w:b/>
                                      <w:color w:val="595959" w:themeColor="text1" w:themeTint="A6"/>
                                      <w:sz w:val="20"/>
                                      <w:szCs w:val="22"/>
                                    </w:rPr>
                                    <w:t>Dwellings Completed (net)</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2006/07</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821</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2007/08</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529</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2008/09</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665</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2009/10</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257</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2010/11</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200</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2011/12</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228</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2012/13</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213</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2013/14</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70</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 xml:space="preserve">Total: </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2,983</w:t>
                                  </w:r>
                                </w:p>
                              </w:tc>
                            </w:tr>
                          </w:tbl>
                          <w:p w:rsidR="000D3CFF" w:rsidRDefault="000D3CFF" w:rsidP="0034369D">
                            <w:pPr>
                              <w:autoSpaceDE w:val="0"/>
                              <w:autoSpaceDN w:val="0"/>
                              <w:adjustRightInd w:val="0"/>
                              <w:spacing w:line="276" w:lineRule="auto"/>
                              <w:jc w:val="center"/>
                              <w:rPr>
                                <w:rFonts w:ascii="Calibri" w:eastAsia="Calibri" w:hAnsi="Calibri" w:cs="Calibri"/>
                                <w:color w:val="000000"/>
                                <w:sz w:val="20"/>
                                <w:szCs w:val="22"/>
                              </w:rPr>
                            </w:pPr>
                            <w:r w:rsidRPr="00AF195F">
                              <w:rPr>
                                <w:rFonts w:ascii="Calibri" w:eastAsia="Calibri" w:hAnsi="Calibri" w:cs="Calibri"/>
                                <w:b/>
                                <w:color w:val="000000"/>
                                <w:sz w:val="20"/>
                                <w:szCs w:val="22"/>
                              </w:rPr>
                              <w:t>Figure 1</w:t>
                            </w:r>
                            <w:r>
                              <w:rPr>
                                <w:rFonts w:ascii="Calibri" w:eastAsia="Calibri" w:hAnsi="Calibri" w:cs="Calibri"/>
                                <w:b/>
                                <w:color w:val="000000"/>
                                <w:sz w:val="20"/>
                                <w:szCs w:val="22"/>
                              </w:rPr>
                              <w:t>0</w:t>
                            </w:r>
                            <w:r w:rsidRPr="00AF195F">
                              <w:rPr>
                                <w:rFonts w:ascii="Calibri" w:eastAsia="Calibri" w:hAnsi="Calibri" w:cs="Calibri"/>
                                <w:b/>
                                <w:color w:val="000000"/>
                                <w:sz w:val="20"/>
                                <w:szCs w:val="22"/>
                              </w:rPr>
                              <w:t xml:space="preserve">: </w:t>
                            </w:r>
                            <w:r>
                              <w:rPr>
                                <w:rFonts w:ascii="Calibri" w:eastAsia="Calibri" w:hAnsi="Calibri" w:cs="Calibri"/>
                                <w:color w:val="000000"/>
                                <w:sz w:val="20"/>
                                <w:szCs w:val="22"/>
                              </w:rPr>
                              <w:t>Net additional dwellings completed since the</w:t>
                            </w:r>
                          </w:p>
                          <w:p w:rsidR="000D3CFF" w:rsidRDefault="000D3CFF" w:rsidP="0034369D">
                            <w:pPr>
                              <w:autoSpaceDE w:val="0"/>
                              <w:autoSpaceDN w:val="0"/>
                              <w:adjustRightInd w:val="0"/>
                              <w:spacing w:line="276" w:lineRule="auto"/>
                              <w:jc w:val="center"/>
                              <w:rPr>
                                <w:rFonts w:ascii="Calibri" w:eastAsia="Calibri" w:hAnsi="Calibri" w:cs="Calibri"/>
                                <w:sz w:val="22"/>
                                <w:szCs w:val="22"/>
                              </w:rPr>
                            </w:pPr>
                            <w:proofErr w:type="gramStart"/>
                            <w:r>
                              <w:rPr>
                                <w:rFonts w:ascii="Calibri" w:eastAsia="Calibri" w:hAnsi="Calibri" w:cs="Calibri"/>
                                <w:color w:val="000000"/>
                                <w:sz w:val="20"/>
                                <w:szCs w:val="22"/>
                              </w:rPr>
                              <w:t>start</w:t>
                            </w:r>
                            <w:proofErr w:type="gramEnd"/>
                            <w:r>
                              <w:rPr>
                                <w:rFonts w:ascii="Calibri" w:eastAsia="Calibri" w:hAnsi="Calibri" w:cs="Calibri"/>
                                <w:color w:val="000000"/>
                                <w:sz w:val="20"/>
                                <w:szCs w:val="22"/>
                              </w:rPr>
                              <w:t xml:space="preserve"> of the Core Strategy period</w:t>
                            </w:r>
                          </w:p>
                          <w:p w:rsidR="000D3CFF" w:rsidRDefault="000D3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6" o:spid="_x0000_s1042" type="#_x0000_t202" style="position:absolute;left:0;text-align:left;margin-left:192.75pt;margin-top:.45pt;width:270pt;height:167.2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" fillcolor="white [3201]" stroked="f" strokeweight=".5pt">
                <v:textbox>
                  <w:txbxContent>
                    <w:tbl>
                      <w:tblPr>
                        <w:tblStyle w:val="TableGrid"/>
                        <w:tblW w:w="5103"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410"/>
                        <w:gridCol w:w="2693"/>
                      </w:tblGrid>
                      <w:tr w:rsidR="000D3CFF" w:rsidRPr="00856641"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rsidR="000D3CFF" w:rsidRPr="00856641"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Year</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rsidR="000D3CFF" w:rsidRPr="00856641" w:rsidRDefault="000D3CFF" w:rsidP="00DE64D9">
                            <w:pPr>
                              <w:jc w:val="center"/>
                              <w:rPr>
                                <w:rFonts w:ascii="Calibri" w:eastAsia="Calibri" w:hAnsi="Calibri" w:cs="Times New Roman"/>
                                <w:b/>
                                <w:color w:val="595959" w:themeColor="text1" w:themeTint="A6"/>
                                <w:sz w:val="20"/>
                                <w:szCs w:val="22"/>
                              </w:rPr>
                            </w:pPr>
                            <w:r>
                              <w:rPr>
                                <w:rFonts w:ascii="Calibri" w:eastAsia="Calibri" w:hAnsi="Calibri" w:cs="Times New Roman"/>
                                <w:b/>
                                <w:color w:val="595959" w:themeColor="text1" w:themeTint="A6"/>
                                <w:sz w:val="20"/>
                                <w:szCs w:val="22"/>
                              </w:rPr>
                              <w:t>Dwellings Completed (net)</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2006/07</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821</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2007/08</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529</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2008/09</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665</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2009/10</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257</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2010/11</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200</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2011/12</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228</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2012/13</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213</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2013/14</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70</w:t>
                            </w:r>
                          </w:p>
                        </w:tc>
                      </w:tr>
                      <w:tr w:rsidR="000D3CFF" w:rsidRPr="00AB5140" w:rsidTr="0034369D">
                        <w:tc>
                          <w:tcPr>
                            <w:tcW w:w="2410"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Default="000D3CFF" w:rsidP="00DE64D9">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 xml:space="preserve">Total: </w:t>
                            </w:r>
                          </w:p>
                        </w:tc>
                        <w:tc>
                          <w:tcPr>
                            <w:tcW w:w="2693"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0D3CFF" w:rsidRPr="00AB5140" w:rsidRDefault="000D3CFF" w:rsidP="00DE64D9">
                            <w:pPr>
                              <w:jc w:val="center"/>
                              <w:rPr>
                                <w:rFonts w:ascii="Calibri" w:eastAsia="Calibri" w:hAnsi="Calibri" w:cs="Times New Roman"/>
                                <w:color w:val="215868" w:themeColor="accent5" w:themeShade="80"/>
                                <w:sz w:val="20"/>
                                <w:szCs w:val="22"/>
                              </w:rPr>
                            </w:pPr>
                            <w:r>
                              <w:rPr>
                                <w:rFonts w:ascii="Calibri" w:eastAsia="Calibri" w:hAnsi="Calibri" w:cs="Times New Roman"/>
                                <w:color w:val="215868" w:themeColor="accent5" w:themeShade="80"/>
                                <w:sz w:val="20"/>
                                <w:szCs w:val="22"/>
                              </w:rPr>
                              <w:t>2,983</w:t>
                            </w:r>
                          </w:p>
                        </w:tc>
                      </w:tr>
                    </w:tbl>
                    <w:p w:rsidR="000D3CFF" w:rsidRDefault="000D3CFF" w:rsidP="0034369D">
                      <w:pPr>
                        <w:autoSpaceDE w:val="0"/>
                        <w:autoSpaceDN w:val="0"/>
                        <w:adjustRightInd w:val="0"/>
                        <w:spacing w:line="276" w:lineRule="auto"/>
                        <w:jc w:val="center"/>
                        <w:rPr>
                          <w:rFonts w:ascii="Calibri" w:eastAsia="Calibri" w:hAnsi="Calibri" w:cs="Calibri"/>
                          <w:color w:val="000000"/>
                          <w:sz w:val="20"/>
                          <w:szCs w:val="22"/>
                        </w:rPr>
                      </w:pPr>
                      <w:r w:rsidRPr="00AF195F">
                        <w:rPr>
                          <w:rFonts w:ascii="Calibri" w:eastAsia="Calibri" w:hAnsi="Calibri" w:cs="Calibri"/>
                          <w:b/>
                          <w:color w:val="000000"/>
                          <w:sz w:val="20"/>
                          <w:szCs w:val="22"/>
                        </w:rPr>
                        <w:t>Figure 1</w:t>
                      </w:r>
                      <w:r>
                        <w:rPr>
                          <w:rFonts w:ascii="Calibri" w:eastAsia="Calibri" w:hAnsi="Calibri" w:cs="Calibri"/>
                          <w:b/>
                          <w:color w:val="000000"/>
                          <w:sz w:val="20"/>
                          <w:szCs w:val="22"/>
                        </w:rPr>
                        <w:t>0</w:t>
                      </w:r>
                      <w:r w:rsidRPr="00AF195F">
                        <w:rPr>
                          <w:rFonts w:ascii="Calibri" w:eastAsia="Calibri" w:hAnsi="Calibri" w:cs="Calibri"/>
                          <w:b/>
                          <w:color w:val="000000"/>
                          <w:sz w:val="20"/>
                          <w:szCs w:val="22"/>
                        </w:rPr>
                        <w:t xml:space="preserve">: </w:t>
                      </w:r>
                      <w:r>
                        <w:rPr>
                          <w:rFonts w:ascii="Calibri" w:eastAsia="Calibri" w:hAnsi="Calibri" w:cs="Calibri"/>
                          <w:color w:val="000000"/>
                          <w:sz w:val="20"/>
                          <w:szCs w:val="22"/>
                        </w:rPr>
                        <w:t>Net additional dwellings completed since the</w:t>
                      </w:r>
                    </w:p>
                    <w:p w:rsidR="000D3CFF" w:rsidRDefault="000D3CFF" w:rsidP="0034369D">
                      <w:pPr>
                        <w:autoSpaceDE w:val="0"/>
                        <w:autoSpaceDN w:val="0"/>
                        <w:adjustRightInd w:val="0"/>
                        <w:spacing w:line="276" w:lineRule="auto"/>
                        <w:jc w:val="center"/>
                        <w:rPr>
                          <w:rFonts w:ascii="Calibri" w:eastAsia="Calibri" w:hAnsi="Calibri" w:cs="Calibri"/>
                          <w:sz w:val="22"/>
                          <w:szCs w:val="22"/>
                        </w:rPr>
                      </w:pPr>
                      <w:proofErr w:type="gramStart"/>
                      <w:r>
                        <w:rPr>
                          <w:rFonts w:ascii="Calibri" w:eastAsia="Calibri" w:hAnsi="Calibri" w:cs="Calibri"/>
                          <w:color w:val="000000"/>
                          <w:sz w:val="20"/>
                          <w:szCs w:val="22"/>
                        </w:rPr>
                        <w:t>start</w:t>
                      </w:r>
                      <w:proofErr w:type="gramEnd"/>
                      <w:r>
                        <w:rPr>
                          <w:rFonts w:ascii="Calibri" w:eastAsia="Calibri" w:hAnsi="Calibri" w:cs="Calibri"/>
                          <w:color w:val="000000"/>
                          <w:sz w:val="20"/>
                          <w:szCs w:val="22"/>
                        </w:rPr>
                        <w:t xml:space="preserve"> of the Core Strategy period</w:t>
                      </w:r>
                    </w:p>
                    <w:p w:rsidR="000D3CFF" w:rsidRDefault="000D3CFF"/>
                  </w:txbxContent>
                </v:textbox>
              </v:shape>
            </w:pict>
          </mc:Fallback>
        </mc:AlternateContent>
      </w:r>
      <w:r w:rsidR="001F7115">
        <w:rPr>
          <w:rFonts w:ascii="Calibri" w:eastAsia="Calibri" w:hAnsi="Calibri" w:cs="Calibri"/>
          <w:sz w:val="22"/>
          <w:szCs w:val="22"/>
        </w:rPr>
        <w:t xml:space="preserve">The housing target as taken from </w:t>
      </w:r>
      <w:r>
        <w:rPr>
          <w:rFonts w:ascii="Calibri" w:eastAsia="Calibri" w:hAnsi="Calibri" w:cs="Calibri"/>
          <w:sz w:val="22"/>
          <w:szCs w:val="22"/>
        </w:rPr>
        <w:t>the Core</w:t>
      </w:r>
      <w:r w:rsidR="001F7115">
        <w:rPr>
          <w:rFonts w:ascii="Calibri" w:eastAsia="Calibri" w:hAnsi="Calibri" w:cs="Calibri"/>
          <w:sz w:val="22"/>
          <w:szCs w:val="22"/>
        </w:rPr>
        <w:t xml:space="preserve"> Strategy is 8,000 dwellings from 2006 – 2026.</w:t>
      </w:r>
    </w:p>
    <w:p w:rsidR="001F7115" w:rsidRDefault="00114363" w:rsidP="0034369D">
      <w:pPr>
        <w:numPr>
          <w:ilvl w:val="1"/>
          <w:numId w:val="9"/>
        </w:numPr>
        <w:autoSpaceDE w:val="0"/>
        <w:autoSpaceDN w:val="0"/>
        <w:adjustRightInd w:val="0"/>
        <w:spacing w:after="200" w:line="276" w:lineRule="auto"/>
        <w:ind w:right="5340"/>
        <w:jc w:val="both"/>
        <w:rPr>
          <w:rFonts w:ascii="Calibri" w:eastAsia="Calibri" w:hAnsi="Calibri" w:cs="Calibri"/>
          <w:sz w:val="22"/>
          <w:szCs w:val="22"/>
        </w:rPr>
      </w:pPr>
      <w:r>
        <w:rPr>
          <w:rFonts w:ascii="Calibri" w:eastAsia="Calibri" w:hAnsi="Calibri" w:cs="Calibri"/>
          <w:sz w:val="22"/>
          <w:szCs w:val="22"/>
        </w:rPr>
        <w:t>Figure 10 shows n</w:t>
      </w:r>
      <w:r w:rsidR="001F7115">
        <w:rPr>
          <w:rFonts w:ascii="Calibri" w:eastAsia="Calibri" w:hAnsi="Calibri" w:cs="Calibri"/>
          <w:sz w:val="22"/>
          <w:szCs w:val="22"/>
        </w:rPr>
        <w:t xml:space="preserve">et additional dwellings </w:t>
      </w:r>
      <w:r w:rsidR="00802D17">
        <w:rPr>
          <w:rFonts w:ascii="Calibri" w:eastAsia="Calibri" w:hAnsi="Calibri" w:cs="Calibri"/>
          <w:sz w:val="22"/>
          <w:szCs w:val="22"/>
        </w:rPr>
        <w:t>completed since the start of the C</w:t>
      </w:r>
      <w:r>
        <w:rPr>
          <w:rFonts w:ascii="Calibri" w:eastAsia="Calibri" w:hAnsi="Calibri" w:cs="Calibri"/>
          <w:sz w:val="22"/>
          <w:szCs w:val="22"/>
        </w:rPr>
        <w:t>ore Strategy period (2006/07). This takes into account dwellings gained and lost through new build completions, demolitions, changes of use and conversions.</w:t>
      </w:r>
    </w:p>
    <w:p w:rsidR="00A234AB" w:rsidRPr="00A234AB" w:rsidRDefault="00A234AB"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A234AB">
        <w:rPr>
          <w:rFonts w:ascii="Calibri" w:eastAsia="Calibri" w:hAnsi="Calibri" w:cs="Calibri"/>
          <w:sz w:val="22"/>
          <w:szCs w:val="22"/>
        </w:rPr>
        <w:t xml:space="preserve">Traditionally, the </w:t>
      </w:r>
      <w:r w:rsidR="003161C9" w:rsidRPr="00A234AB">
        <w:rPr>
          <w:rFonts w:ascii="Calibri" w:eastAsia="Calibri" w:hAnsi="Calibri" w:cs="Calibri"/>
          <w:sz w:val="22"/>
          <w:szCs w:val="22"/>
        </w:rPr>
        <w:t>city</w:t>
      </w:r>
      <w:r w:rsidRPr="00A234AB">
        <w:rPr>
          <w:rFonts w:ascii="Calibri" w:eastAsia="Calibri" w:hAnsi="Calibri" w:cs="Calibri"/>
          <w:sz w:val="22"/>
          <w:szCs w:val="22"/>
        </w:rPr>
        <w:t xml:space="preserve"> Council has produced our own Strategic Housing Land Availability Assessments (SHLAA) annually. The data and housing trajectory within these SHLAAs is normally inserted within the Annual Monitoring Report (AMR) of the same year under this indicator.</w:t>
      </w:r>
    </w:p>
    <w:p w:rsidR="00A234AB" w:rsidRPr="00A234AB" w:rsidRDefault="00A234AB"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A234AB">
        <w:rPr>
          <w:rFonts w:ascii="Calibri" w:eastAsia="Calibri" w:hAnsi="Calibri" w:cs="Calibri"/>
          <w:sz w:val="22"/>
          <w:szCs w:val="22"/>
        </w:rPr>
        <w:t xml:space="preserve">This year is different. In July 2014, the </w:t>
      </w:r>
      <w:r w:rsidR="00572014">
        <w:rPr>
          <w:rFonts w:ascii="Calibri" w:eastAsia="Calibri" w:hAnsi="Calibri" w:cs="Calibri"/>
          <w:sz w:val="22"/>
          <w:szCs w:val="22"/>
        </w:rPr>
        <w:t>C</w:t>
      </w:r>
      <w:r w:rsidR="003161C9" w:rsidRPr="00A234AB">
        <w:rPr>
          <w:rFonts w:ascii="Calibri" w:eastAsia="Calibri" w:hAnsi="Calibri" w:cs="Calibri"/>
          <w:sz w:val="22"/>
          <w:szCs w:val="22"/>
        </w:rPr>
        <w:t>ity</w:t>
      </w:r>
      <w:r w:rsidRPr="00A234AB">
        <w:rPr>
          <w:rFonts w:ascii="Calibri" w:eastAsia="Calibri" w:hAnsi="Calibri" w:cs="Calibri"/>
          <w:sz w:val="22"/>
          <w:szCs w:val="22"/>
        </w:rPr>
        <w:t xml:space="preserve"> Council commissioned consultants URS to produce a SHLAA for Oxford. This is because we required an extra level of independence in order to demonstrate the </w:t>
      </w:r>
      <w:r w:rsidR="00857A9C">
        <w:rPr>
          <w:rFonts w:ascii="Calibri" w:eastAsia="Calibri" w:hAnsi="Calibri" w:cs="Calibri"/>
          <w:sz w:val="22"/>
          <w:szCs w:val="22"/>
        </w:rPr>
        <w:t xml:space="preserve">extent to which </w:t>
      </w:r>
      <w:r w:rsidRPr="00A234AB">
        <w:rPr>
          <w:rFonts w:ascii="Calibri" w:eastAsia="Calibri" w:hAnsi="Calibri" w:cs="Calibri"/>
          <w:sz w:val="22"/>
          <w:szCs w:val="22"/>
        </w:rPr>
        <w:t xml:space="preserve">Oxford </w:t>
      </w:r>
      <w:r w:rsidR="00857A9C">
        <w:rPr>
          <w:rFonts w:ascii="Calibri" w:eastAsia="Calibri" w:hAnsi="Calibri" w:cs="Calibri"/>
          <w:sz w:val="22"/>
          <w:szCs w:val="22"/>
        </w:rPr>
        <w:t xml:space="preserve">is able </w:t>
      </w:r>
      <w:r w:rsidRPr="00A234AB">
        <w:rPr>
          <w:rFonts w:ascii="Calibri" w:eastAsia="Calibri" w:hAnsi="Calibri" w:cs="Calibri"/>
          <w:sz w:val="22"/>
          <w:szCs w:val="22"/>
        </w:rPr>
        <w:t>to meet its housing need</w:t>
      </w:r>
      <w:r w:rsidR="00857A9C">
        <w:rPr>
          <w:rFonts w:ascii="Calibri" w:eastAsia="Calibri" w:hAnsi="Calibri" w:cs="Calibri"/>
          <w:sz w:val="22"/>
          <w:szCs w:val="22"/>
        </w:rPr>
        <w:t xml:space="preserve"> within its own administrative boundaries</w:t>
      </w:r>
      <w:r w:rsidRPr="00A234AB">
        <w:rPr>
          <w:rFonts w:ascii="Calibri" w:eastAsia="Calibri" w:hAnsi="Calibri" w:cs="Calibri"/>
          <w:sz w:val="22"/>
          <w:szCs w:val="22"/>
        </w:rPr>
        <w:t xml:space="preserve">. This is in the light of the housing need identified for Oxford in the Strategic Housing Market Assessment (GL Hearn, April 2014) and the need for each of the Oxfordshire Local Planning Authorities, under Duty to Co-operate, to work effectively to meet Oxford’s </w:t>
      </w:r>
      <w:r w:rsidR="00857A9C">
        <w:rPr>
          <w:rFonts w:ascii="Calibri" w:eastAsia="Calibri" w:hAnsi="Calibri" w:cs="Calibri"/>
          <w:sz w:val="22"/>
          <w:szCs w:val="22"/>
        </w:rPr>
        <w:t xml:space="preserve">unmet </w:t>
      </w:r>
      <w:r w:rsidRPr="00A234AB">
        <w:rPr>
          <w:rFonts w:ascii="Calibri" w:eastAsia="Calibri" w:hAnsi="Calibri" w:cs="Calibri"/>
          <w:sz w:val="22"/>
          <w:szCs w:val="22"/>
        </w:rPr>
        <w:t>housing need.</w:t>
      </w:r>
    </w:p>
    <w:p w:rsidR="00AD7955" w:rsidRPr="00AD7955" w:rsidRDefault="00A234AB" w:rsidP="00AD7955">
      <w:pPr>
        <w:numPr>
          <w:ilvl w:val="1"/>
          <w:numId w:val="9"/>
        </w:numPr>
        <w:autoSpaceDE w:val="0"/>
        <w:autoSpaceDN w:val="0"/>
        <w:adjustRightInd w:val="0"/>
        <w:spacing w:after="200" w:line="276" w:lineRule="auto"/>
        <w:jc w:val="both"/>
        <w:rPr>
          <w:rFonts w:ascii="Calibri" w:eastAsia="Calibri" w:hAnsi="Calibri" w:cs="Calibri"/>
          <w:sz w:val="22"/>
          <w:szCs w:val="22"/>
        </w:rPr>
      </w:pPr>
      <w:r w:rsidRPr="00A234AB">
        <w:rPr>
          <w:rFonts w:ascii="Calibri" w:eastAsia="Calibri" w:hAnsi="Calibri" w:cs="Calibri"/>
          <w:sz w:val="22"/>
          <w:szCs w:val="22"/>
        </w:rPr>
        <w:t xml:space="preserve">The URS SHLAA is expected to be completed in </w:t>
      </w:r>
      <w:r w:rsidR="00857A9C">
        <w:rPr>
          <w:rFonts w:ascii="Calibri" w:eastAsia="Calibri" w:hAnsi="Calibri" w:cs="Calibri"/>
          <w:sz w:val="22"/>
          <w:szCs w:val="22"/>
        </w:rPr>
        <w:t xml:space="preserve">early </w:t>
      </w:r>
      <w:r w:rsidRPr="00A234AB">
        <w:rPr>
          <w:rFonts w:ascii="Calibri" w:eastAsia="Calibri" w:hAnsi="Calibri" w:cs="Calibri"/>
          <w:sz w:val="22"/>
          <w:szCs w:val="22"/>
        </w:rPr>
        <w:t>October 2014 and will become the Oxford SHLAA for 2014. It will contain the most up to date housing trajectory for Oxford. For this reason, this indicator has not yet been completed.</w:t>
      </w:r>
    </w:p>
    <w:p w:rsidR="00AD7955" w:rsidRDefault="00AD7955" w:rsidP="00AD7955">
      <w:pPr>
        <w:spacing w:line="276" w:lineRule="auto"/>
        <w:rPr>
          <w:rFonts w:asciiTheme="minorHAnsi" w:hAnsiTheme="minorHAnsi" w:cstheme="minorHAnsi"/>
          <w:b/>
          <w:color w:val="984806" w:themeColor="accent6" w:themeShade="80"/>
          <w:sz w:val="22"/>
        </w:rPr>
      </w:pPr>
      <w:r w:rsidRPr="000600C0">
        <w:rPr>
          <w:rFonts w:asciiTheme="minorHAnsi" w:hAnsiTheme="minorHAnsi" w:cstheme="minorHAnsi"/>
          <w:b/>
          <w:color w:val="984806" w:themeColor="accent6" w:themeShade="80"/>
          <w:sz w:val="22"/>
        </w:rPr>
        <w:t>Housing completions</w:t>
      </w:r>
    </w:p>
    <w:p w:rsidR="000600C0" w:rsidRPr="000600C0" w:rsidRDefault="000600C0" w:rsidP="00AD7955">
      <w:pPr>
        <w:spacing w:line="276" w:lineRule="auto"/>
        <w:rPr>
          <w:rFonts w:asciiTheme="minorHAnsi" w:hAnsiTheme="minorHAnsi" w:cstheme="minorHAnsi"/>
          <w:b/>
          <w:color w:val="984806" w:themeColor="accent6" w:themeShade="80"/>
          <w:sz w:val="22"/>
        </w:rPr>
      </w:pPr>
    </w:p>
    <w:p w:rsidR="00AD795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 xml:space="preserve">The number of housing completions during 2013/14 was 70 dwellings. This is a drop from previous years but this will be a very short term dip. The number of dwellings granted </w:t>
      </w:r>
      <w:r w:rsidRPr="000600C0">
        <w:rPr>
          <w:rFonts w:asciiTheme="minorHAnsi" w:hAnsiTheme="minorHAnsi" w:cstheme="minorHAnsi"/>
          <w:sz w:val="22"/>
        </w:rPr>
        <w:lastRenderedPageBreak/>
        <w:t>planning permission during 2013/14 was 1,350. These include the outline permission at Barton for 885 dwellings plus the City Council’s sites in the Affordable Homes Programme. The Barton sit</w:t>
      </w:r>
      <w:r w:rsidR="00614696">
        <w:rPr>
          <w:rFonts w:asciiTheme="minorHAnsi" w:hAnsiTheme="minorHAnsi" w:cstheme="minorHAnsi"/>
          <w:sz w:val="22"/>
        </w:rPr>
        <w:t>e will require approval of the reserved m</w:t>
      </w:r>
      <w:r w:rsidRPr="000600C0">
        <w:rPr>
          <w:rFonts w:asciiTheme="minorHAnsi" w:hAnsiTheme="minorHAnsi" w:cstheme="minorHAnsi"/>
          <w:sz w:val="22"/>
        </w:rPr>
        <w:t>atters application before construction can commence but the remaining sites would be expected to be completed in either 2014/15 or 2015/16 resulting in a much increased housing delivery compared to 2013/14.</w:t>
      </w:r>
    </w:p>
    <w:p w:rsidR="00AD7955" w:rsidRPr="000600C0" w:rsidRDefault="00AD7955" w:rsidP="00AD7955">
      <w:pPr>
        <w:pStyle w:val="ListParagraph"/>
        <w:spacing w:line="276" w:lineRule="auto"/>
        <w:ind w:left="567" w:hanging="567"/>
        <w:rPr>
          <w:rFonts w:asciiTheme="minorHAnsi" w:hAnsiTheme="minorHAnsi" w:cstheme="minorHAnsi"/>
          <w:sz w:val="22"/>
        </w:rPr>
      </w:pPr>
    </w:p>
    <w:p w:rsidR="00AD7955" w:rsidRDefault="00AD7955" w:rsidP="00AD7955">
      <w:pPr>
        <w:spacing w:line="276" w:lineRule="auto"/>
        <w:ind w:left="567" w:hanging="567"/>
        <w:rPr>
          <w:rFonts w:asciiTheme="minorHAnsi" w:hAnsiTheme="minorHAnsi" w:cstheme="minorHAnsi"/>
          <w:b/>
          <w:color w:val="984806" w:themeColor="accent6" w:themeShade="80"/>
          <w:sz w:val="22"/>
        </w:rPr>
      </w:pPr>
      <w:r w:rsidRPr="000600C0">
        <w:rPr>
          <w:rFonts w:asciiTheme="minorHAnsi" w:hAnsiTheme="minorHAnsi" w:cstheme="minorHAnsi"/>
          <w:b/>
          <w:color w:val="984806" w:themeColor="accent6" w:themeShade="80"/>
          <w:sz w:val="22"/>
        </w:rPr>
        <w:t>Student accommodation and housing numbers</w:t>
      </w:r>
    </w:p>
    <w:p w:rsidR="000600C0" w:rsidRPr="000600C0" w:rsidRDefault="000600C0" w:rsidP="00AD7955">
      <w:pPr>
        <w:spacing w:line="276" w:lineRule="auto"/>
        <w:ind w:left="567" w:hanging="567"/>
        <w:rPr>
          <w:rFonts w:asciiTheme="minorHAnsi" w:hAnsiTheme="minorHAnsi" w:cstheme="minorHAnsi"/>
          <w:b/>
          <w:color w:val="984806" w:themeColor="accent6" w:themeShade="80"/>
          <w:sz w:val="22"/>
        </w:rPr>
      </w:pPr>
    </w:p>
    <w:p w:rsidR="00AD795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To date, student accommodation has not been counted as dwellings for housing land supply purposes. However, the Planning Practice Guidance (PPG) has introduced the requirement that student accommodation should be counted in housing land supply figure. It states “</w:t>
      </w:r>
      <w:r w:rsidRPr="000600C0">
        <w:rPr>
          <w:rFonts w:asciiTheme="minorHAnsi" w:hAnsiTheme="minorHAnsi" w:cstheme="minorHAnsi"/>
          <w:i/>
          <w:sz w:val="22"/>
        </w:rPr>
        <w:t>All student accommodation, whether it consists of communal halls of residence or self-contained dwellings, and whether or not it is on campus, can be included towards the housing requirement, based on the amount of accommodation it releases in the housing market.”</w:t>
      </w:r>
    </w:p>
    <w:p w:rsidR="00AD7955" w:rsidRPr="000600C0" w:rsidRDefault="00AD7955" w:rsidP="00AD7955">
      <w:pPr>
        <w:pStyle w:val="ListParagraph"/>
        <w:ind w:left="567" w:hanging="567"/>
        <w:rPr>
          <w:rFonts w:asciiTheme="minorHAnsi" w:hAnsiTheme="minorHAnsi" w:cstheme="minorHAnsi"/>
          <w:sz w:val="22"/>
        </w:rPr>
      </w:pPr>
    </w:p>
    <w:p w:rsidR="00AD795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The question of the ‘amount of accommodation it releases in the market’ is not defined and it appears to be up to Local Authorities to determine. It is estimated that houses in Oxford, when occupied by students that house share, may contain between 4-6 students per house. Many houses in Oxford are inter-war semi-detached properties or Victorian terraces with 3 bedrooms plus a living room/dining room sometimes used as a fourth bedroom. There are also many larger properties, in North Oxford in particular</w:t>
      </w:r>
      <w:r w:rsidR="005552B9">
        <w:rPr>
          <w:rFonts w:asciiTheme="minorHAnsi" w:hAnsiTheme="minorHAnsi" w:cstheme="minorHAnsi"/>
          <w:sz w:val="22"/>
        </w:rPr>
        <w:t>, that</w:t>
      </w:r>
      <w:r w:rsidRPr="000600C0">
        <w:rPr>
          <w:rFonts w:asciiTheme="minorHAnsi" w:hAnsiTheme="minorHAnsi" w:cstheme="minorHAnsi"/>
          <w:sz w:val="22"/>
        </w:rPr>
        <w:t xml:space="preserve"> may house 6 or more students each. </w:t>
      </w:r>
    </w:p>
    <w:p w:rsidR="00AD7955" w:rsidRPr="000600C0" w:rsidRDefault="00AD7955" w:rsidP="00AD7955">
      <w:pPr>
        <w:pStyle w:val="ListParagraph"/>
        <w:ind w:left="567" w:hanging="567"/>
        <w:rPr>
          <w:rFonts w:asciiTheme="minorHAnsi" w:hAnsiTheme="minorHAnsi" w:cstheme="minorHAnsi"/>
          <w:sz w:val="22"/>
        </w:rPr>
      </w:pPr>
    </w:p>
    <w:p w:rsidR="00AD795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A local estate agent suggested 4-5 students per house was most common</w:t>
      </w:r>
      <w:r w:rsidR="005552B9">
        <w:rPr>
          <w:rFonts w:asciiTheme="minorHAnsi" w:hAnsiTheme="minorHAnsi" w:cstheme="minorHAnsi"/>
          <w:sz w:val="22"/>
        </w:rPr>
        <w:t>,</w:t>
      </w:r>
      <w:r w:rsidRPr="000600C0">
        <w:rPr>
          <w:rFonts w:asciiTheme="minorHAnsi" w:hAnsiTheme="minorHAnsi" w:cstheme="minorHAnsi"/>
          <w:sz w:val="22"/>
        </w:rPr>
        <w:t xml:space="preserve"> although some student houses are as small as studio flats</w:t>
      </w:r>
      <w:r w:rsidR="005552B9">
        <w:rPr>
          <w:rFonts w:asciiTheme="minorHAnsi" w:hAnsiTheme="minorHAnsi" w:cstheme="minorHAnsi"/>
          <w:sz w:val="22"/>
        </w:rPr>
        <w:t xml:space="preserve"> and</w:t>
      </w:r>
      <w:r w:rsidRPr="000600C0">
        <w:rPr>
          <w:rFonts w:asciiTheme="minorHAnsi" w:hAnsiTheme="minorHAnsi" w:cstheme="minorHAnsi"/>
          <w:sz w:val="22"/>
        </w:rPr>
        <w:t xml:space="preserve"> a few houses</w:t>
      </w:r>
      <w:r w:rsidR="005552B9">
        <w:rPr>
          <w:rFonts w:asciiTheme="minorHAnsi" w:hAnsiTheme="minorHAnsi" w:cstheme="minorHAnsi"/>
          <w:sz w:val="22"/>
        </w:rPr>
        <w:t xml:space="preserve"> can accommodate</w:t>
      </w:r>
      <w:r w:rsidRPr="000600C0">
        <w:rPr>
          <w:rFonts w:asciiTheme="minorHAnsi" w:hAnsiTheme="minorHAnsi" w:cstheme="minorHAnsi"/>
          <w:sz w:val="22"/>
        </w:rPr>
        <w:t xml:space="preserve"> up to 9 students. </w:t>
      </w:r>
    </w:p>
    <w:p w:rsidR="00AD7955" w:rsidRPr="000600C0" w:rsidRDefault="00AD7955" w:rsidP="00AD7955">
      <w:pPr>
        <w:pStyle w:val="ListParagraph"/>
        <w:ind w:left="567" w:hanging="567"/>
        <w:rPr>
          <w:rFonts w:asciiTheme="minorHAnsi" w:hAnsiTheme="minorHAnsi" w:cstheme="minorHAnsi"/>
          <w:sz w:val="22"/>
        </w:rPr>
      </w:pPr>
    </w:p>
    <w:p w:rsidR="00AD795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Using this information, the assumption will be that five student rooms would release the equivalent of one dwelling in the housing market. In assessing the contribution of student rooms to housing delivery, the number of student rooms will be divided by five. For example, a development of 100 student rooms will be assessed as delivering 20 ‘dwellings’.</w:t>
      </w:r>
    </w:p>
    <w:p w:rsidR="00AD7955" w:rsidRPr="00AD7955" w:rsidRDefault="00AD7955" w:rsidP="00AD7955">
      <w:pPr>
        <w:spacing w:line="276" w:lineRule="auto"/>
        <w:rPr>
          <w:rFonts w:asciiTheme="minorHAnsi" w:hAnsiTheme="minorHAnsi" w:cstheme="minorHAnsi"/>
        </w:rPr>
      </w:pPr>
    </w:p>
    <w:tbl>
      <w:tblPr>
        <w:tblStyle w:val="TableGrid"/>
        <w:tblW w:w="0" w:type="auto"/>
        <w:tblInd w:w="1242"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529"/>
        <w:gridCol w:w="1559"/>
      </w:tblGrid>
      <w:tr w:rsidR="00AD7955" w:rsidRPr="00701EDA" w:rsidTr="005552B9">
        <w:tc>
          <w:tcPr>
            <w:tcW w:w="5529" w:type="dxa"/>
            <w:shd w:val="clear" w:color="auto" w:fill="FDE9D9" w:themeFill="accent6" w:themeFillTint="33"/>
          </w:tcPr>
          <w:p w:rsidR="00AD7955" w:rsidRPr="00AD7955" w:rsidRDefault="00AD7955" w:rsidP="00080E3B">
            <w:pPr>
              <w:pStyle w:val="Text1"/>
              <w:numPr>
                <w:ilvl w:val="0"/>
                <w:numId w:val="0"/>
              </w:numPr>
              <w:spacing w:after="0" w:line="240" w:lineRule="auto"/>
              <w:rPr>
                <w:color w:val="404040" w:themeColor="text1" w:themeTint="BF"/>
                <w:sz w:val="20"/>
              </w:rPr>
            </w:pPr>
            <w:r w:rsidRPr="00AD7955">
              <w:rPr>
                <w:color w:val="404040" w:themeColor="text1" w:themeTint="BF"/>
                <w:sz w:val="20"/>
              </w:rPr>
              <w:t>Number of student rooms completed during 2013/14</w:t>
            </w:r>
          </w:p>
        </w:tc>
        <w:tc>
          <w:tcPr>
            <w:tcW w:w="1559" w:type="dxa"/>
          </w:tcPr>
          <w:p w:rsidR="00AD7955" w:rsidRPr="00AD7955" w:rsidRDefault="00AD7955" w:rsidP="00D30502">
            <w:pPr>
              <w:pStyle w:val="Text1"/>
              <w:numPr>
                <w:ilvl w:val="0"/>
                <w:numId w:val="0"/>
              </w:numPr>
              <w:spacing w:after="0" w:line="240" w:lineRule="auto"/>
              <w:jc w:val="center"/>
              <w:rPr>
                <w:color w:val="404040" w:themeColor="text1" w:themeTint="BF"/>
                <w:sz w:val="20"/>
              </w:rPr>
            </w:pPr>
            <w:r w:rsidRPr="00AD7955">
              <w:rPr>
                <w:color w:val="404040" w:themeColor="text1" w:themeTint="BF"/>
                <w:sz w:val="20"/>
              </w:rPr>
              <w:t>720</w:t>
            </w:r>
          </w:p>
        </w:tc>
      </w:tr>
      <w:tr w:rsidR="00AD7955" w:rsidRPr="00701EDA" w:rsidTr="005552B9">
        <w:tc>
          <w:tcPr>
            <w:tcW w:w="5529" w:type="dxa"/>
            <w:shd w:val="clear" w:color="auto" w:fill="FDE9D9" w:themeFill="accent6" w:themeFillTint="33"/>
          </w:tcPr>
          <w:p w:rsidR="00AD7955" w:rsidRPr="00AD7955" w:rsidRDefault="00AD7955" w:rsidP="00080E3B">
            <w:pPr>
              <w:pStyle w:val="Text1"/>
              <w:numPr>
                <w:ilvl w:val="0"/>
                <w:numId w:val="0"/>
              </w:numPr>
              <w:spacing w:after="0" w:line="240" w:lineRule="auto"/>
              <w:rPr>
                <w:color w:val="404040" w:themeColor="text1" w:themeTint="BF"/>
                <w:sz w:val="20"/>
              </w:rPr>
            </w:pPr>
            <w:r w:rsidRPr="00AD7955">
              <w:rPr>
                <w:color w:val="404040" w:themeColor="text1" w:themeTint="BF"/>
                <w:sz w:val="20"/>
              </w:rPr>
              <w:t>Number of equivalent ‘dwellings’</w:t>
            </w:r>
          </w:p>
        </w:tc>
        <w:tc>
          <w:tcPr>
            <w:tcW w:w="1559" w:type="dxa"/>
          </w:tcPr>
          <w:p w:rsidR="00AD7955" w:rsidRPr="00AD7955" w:rsidRDefault="00AD7955" w:rsidP="00D30502">
            <w:pPr>
              <w:pStyle w:val="Text1"/>
              <w:numPr>
                <w:ilvl w:val="0"/>
                <w:numId w:val="0"/>
              </w:numPr>
              <w:spacing w:after="0" w:line="240" w:lineRule="auto"/>
              <w:jc w:val="center"/>
              <w:rPr>
                <w:color w:val="404040" w:themeColor="text1" w:themeTint="BF"/>
                <w:sz w:val="20"/>
              </w:rPr>
            </w:pPr>
            <w:r w:rsidRPr="00AD7955">
              <w:rPr>
                <w:color w:val="404040" w:themeColor="text1" w:themeTint="BF"/>
                <w:sz w:val="20"/>
              </w:rPr>
              <w:t>144</w:t>
            </w:r>
          </w:p>
        </w:tc>
      </w:tr>
    </w:tbl>
    <w:p w:rsidR="000600C0" w:rsidRPr="000600C0" w:rsidRDefault="000600C0" w:rsidP="00AD7955">
      <w:pPr>
        <w:autoSpaceDE w:val="0"/>
        <w:autoSpaceDN w:val="0"/>
        <w:adjustRightInd w:val="0"/>
        <w:spacing w:line="276" w:lineRule="auto"/>
        <w:jc w:val="center"/>
        <w:rPr>
          <w:rFonts w:ascii="Calibri" w:eastAsia="Calibri" w:hAnsi="Calibri" w:cs="Calibri"/>
          <w:b/>
          <w:color w:val="000000"/>
          <w:sz w:val="8"/>
          <w:szCs w:val="8"/>
        </w:rPr>
      </w:pPr>
    </w:p>
    <w:p w:rsidR="00AD7955" w:rsidRDefault="00AD7955" w:rsidP="00AD7955">
      <w:pPr>
        <w:autoSpaceDE w:val="0"/>
        <w:autoSpaceDN w:val="0"/>
        <w:adjustRightInd w:val="0"/>
        <w:spacing w:line="276" w:lineRule="auto"/>
        <w:jc w:val="center"/>
        <w:rPr>
          <w:rFonts w:ascii="Calibri" w:eastAsia="Calibri" w:hAnsi="Calibri" w:cs="Calibri"/>
          <w:sz w:val="22"/>
          <w:szCs w:val="22"/>
        </w:rPr>
      </w:pPr>
      <w:r w:rsidRPr="00AF195F">
        <w:rPr>
          <w:rFonts w:ascii="Calibri" w:eastAsia="Calibri" w:hAnsi="Calibri" w:cs="Calibri"/>
          <w:b/>
          <w:color w:val="000000"/>
          <w:sz w:val="20"/>
          <w:szCs w:val="22"/>
        </w:rPr>
        <w:t>Figure 1</w:t>
      </w:r>
      <w:r>
        <w:rPr>
          <w:rFonts w:ascii="Calibri" w:eastAsia="Calibri" w:hAnsi="Calibri" w:cs="Calibri"/>
          <w:b/>
          <w:color w:val="000000"/>
          <w:sz w:val="20"/>
          <w:szCs w:val="22"/>
        </w:rPr>
        <w:t>1</w:t>
      </w:r>
      <w:r w:rsidRPr="00AF195F">
        <w:rPr>
          <w:rFonts w:ascii="Calibri" w:eastAsia="Calibri" w:hAnsi="Calibri" w:cs="Calibri"/>
          <w:b/>
          <w:color w:val="000000"/>
          <w:sz w:val="20"/>
          <w:szCs w:val="22"/>
        </w:rPr>
        <w:t xml:space="preserve">: </w:t>
      </w:r>
      <w:r>
        <w:rPr>
          <w:rFonts w:ascii="Calibri" w:eastAsia="Calibri" w:hAnsi="Calibri" w:cs="Calibri"/>
          <w:color w:val="000000"/>
          <w:sz w:val="20"/>
          <w:szCs w:val="22"/>
        </w:rPr>
        <w:t>Student housing completions and equiv</w:t>
      </w:r>
      <w:r w:rsidR="000600C0">
        <w:rPr>
          <w:rFonts w:ascii="Calibri" w:eastAsia="Calibri" w:hAnsi="Calibri" w:cs="Calibri"/>
          <w:color w:val="000000"/>
          <w:sz w:val="20"/>
          <w:szCs w:val="22"/>
        </w:rPr>
        <w:t>alent</w:t>
      </w:r>
      <w:r>
        <w:rPr>
          <w:rFonts w:ascii="Calibri" w:eastAsia="Calibri" w:hAnsi="Calibri" w:cs="Calibri"/>
          <w:color w:val="000000"/>
          <w:sz w:val="20"/>
          <w:szCs w:val="22"/>
        </w:rPr>
        <w:t xml:space="preserve"> ‘dwellings’ 2013/14</w:t>
      </w:r>
    </w:p>
    <w:p w:rsidR="00AD7955" w:rsidRPr="00681E96" w:rsidRDefault="00AD7955" w:rsidP="00AD7955">
      <w:pPr>
        <w:pStyle w:val="ListParagraph"/>
        <w:jc w:val="center"/>
        <w:rPr>
          <w:rFonts w:asciiTheme="minorHAnsi" w:hAnsiTheme="minorHAnsi" w:cstheme="minorHAnsi"/>
        </w:rPr>
      </w:pPr>
    </w:p>
    <w:p w:rsidR="00EB7875" w:rsidRPr="000600C0" w:rsidRDefault="00AD7955" w:rsidP="00AD7955">
      <w:pPr>
        <w:pStyle w:val="ListParagraph"/>
        <w:numPr>
          <w:ilvl w:val="1"/>
          <w:numId w:val="34"/>
        </w:numPr>
        <w:spacing w:line="276" w:lineRule="auto"/>
        <w:ind w:left="567" w:hanging="567"/>
        <w:rPr>
          <w:rFonts w:asciiTheme="minorHAnsi" w:hAnsiTheme="minorHAnsi" w:cstheme="minorHAnsi"/>
          <w:sz w:val="22"/>
        </w:rPr>
      </w:pPr>
      <w:r w:rsidRPr="000600C0">
        <w:rPr>
          <w:rFonts w:asciiTheme="minorHAnsi" w:hAnsiTheme="minorHAnsi" w:cstheme="minorHAnsi"/>
          <w:sz w:val="22"/>
        </w:rPr>
        <w:t>In line with the PPG, this figure could legitimately be added to the 70 traditional dwelling completions during 2013/14 totalling 214 completions. Future AMRs and Housing Trajectories will incorporate the completion of student accommodation into the figures.</w:t>
      </w:r>
    </w:p>
    <w:p w:rsidR="000600C0" w:rsidRDefault="000600C0" w:rsidP="00395B8D">
      <w:pPr>
        <w:autoSpaceDE w:val="0"/>
        <w:autoSpaceDN w:val="0"/>
        <w:adjustRightInd w:val="0"/>
        <w:rPr>
          <w:rFonts w:ascii="Calibri" w:eastAsia="Calibri" w:hAnsi="Calibri" w:cs="Calibri"/>
          <w:b/>
          <w:color w:val="984806" w:themeColor="accent6" w:themeShade="80"/>
        </w:rPr>
      </w:pPr>
    </w:p>
    <w:p w:rsidR="000600C0" w:rsidRDefault="000600C0" w:rsidP="00395B8D">
      <w:pPr>
        <w:autoSpaceDE w:val="0"/>
        <w:autoSpaceDN w:val="0"/>
        <w:adjustRightInd w:val="0"/>
        <w:rPr>
          <w:rFonts w:ascii="Calibri" w:eastAsia="Calibri" w:hAnsi="Calibri" w:cs="Calibri"/>
          <w:b/>
          <w:color w:val="984806" w:themeColor="accent6" w:themeShade="80"/>
        </w:rPr>
      </w:pPr>
    </w:p>
    <w:p w:rsidR="000600C0" w:rsidRDefault="000600C0" w:rsidP="00395B8D">
      <w:pPr>
        <w:autoSpaceDE w:val="0"/>
        <w:autoSpaceDN w:val="0"/>
        <w:adjustRightInd w:val="0"/>
        <w:rPr>
          <w:rFonts w:ascii="Calibri" w:eastAsia="Calibri" w:hAnsi="Calibri" w:cs="Calibri"/>
          <w:b/>
          <w:color w:val="984806" w:themeColor="accent6" w:themeShade="80"/>
        </w:rPr>
      </w:pPr>
    </w:p>
    <w:p w:rsidR="000600C0" w:rsidRDefault="000600C0" w:rsidP="00395B8D">
      <w:pPr>
        <w:autoSpaceDE w:val="0"/>
        <w:autoSpaceDN w:val="0"/>
        <w:adjustRightInd w:val="0"/>
        <w:rPr>
          <w:rFonts w:ascii="Calibri" w:eastAsia="Calibri" w:hAnsi="Calibri" w:cs="Calibri"/>
          <w:b/>
          <w:color w:val="984806" w:themeColor="accent6" w:themeShade="80"/>
        </w:rPr>
      </w:pPr>
    </w:p>
    <w:p w:rsidR="000600C0" w:rsidRDefault="000600C0" w:rsidP="00395B8D">
      <w:pPr>
        <w:autoSpaceDE w:val="0"/>
        <w:autoSpaceDN w:val="0"/>
        <w:adjustRightInd w:val="0"/>
        <w:rPr>
          <w:rFonts w:ascii="Calibri" w:eastAsia="Calibri" w:hAnsi="Calibri" w:cs="Calibri"/>
          <w:b/>
          <w:color w:val="984806" w:themeColor="accent6" w:themeShade="80"/>
        </w:rPr>
      </w:pPr>
    </w:p>
    <w:p w:rsidR="001C6C21" w:rsidRPr="00B6465D" w:rsidRDefault="00AD7955" w:rsidP="00395B8D">
      <w:pPr>
        <w:autoSpaceDE w:val="0"/>
        <w:autoSpaceDN w:val="0"/>
        <w:adjustRightInd w:val="0"/>
        <w:rPr>
          <w:rFonts w:ascii="Calibri" w:eastAsia="Calibri" w:hAnsi="Calibri" w:cs="Calibri"/>
          <w:color w:val="984806" w:themeColor="accent6" w:themeShade="80"/>
        </w:rPr>
      </w:pPr>
      <w:r w:rsidRPr="00C615C2">
        <w:rPr>
          <w:b/>
          <w:noProof/>
          <w:sz w:val="32"/>
          <w:szCs w:val="32"/>
          <w:lang w:eastAsia="en-GB"/>
        </w:rPr>
        <w:lastRenderedPageBreak/>
        <mc:AlternateContent>
          <mc:Choice Requires="wps">
            <w:drawing>
              <wp:anchor distT="0" distB="0" distL="114300" distR="114300" simplePos="0" relativeHeight="251813888" behindDoc="0" locked="0" layoutInCell="1" allowOverlap="1" wp14:anchorId="27AB20D4" wp14:editId="6B171D96">
                <wp:simplePos x="0" y="0"/>
                <wp:positionH relativeFrom="column">
                  <wp:posOffset>3430905</wp:posOffset>
                </wp:positionH>
                <wp:positionV relativeFrom="paragraph">
                  <wp:posOffset>-598805</wp:posOffset>
                </wp:positionV>
                <wp:extent cx="2427605" cy="352425"/>
                <wp:effectExtent l="0" t="0" r="0" b="9525"/>
                <wp:wrapNone/>
                <wp:docPr id="126" name="Text Box 126"/>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43" type="#_x0000_t202" style="position:absolute;margin-left:270.15pt;margin-top:-47.15pt;width:191.15pt;height:27.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" fillcolor="window" stroked="f" strokeweight=".5pt">
                <v:textbo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C615C2">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79744" behindDoc="1" locked="0" layoutInCell="1" allowOverlap="1" wp14:anchorId="70D6E2A6" wp14:editId="7EC1EE5D">
                <wp:simplePos x="0" y="0"/>
                <wp:positionH relativeFrom="column">
                  <wp:posOffset>-66675</wp:posOffset>
                </wp:positionH>
                <wp:positionV relativeFrom="paragraph">
                  <wp:posOffset>-34290</wp:posOffset>
                </wp:positionV>
                <wp:extent cx="5875655" cy="2114550"/>
                <wp:effectExtent l="0" t="0" r="0" b="0"/>
                <wp:wrapNone/>
                <wp:docPr id="67" name="Rectangle 67"/>
                <wp:cNvGraphicFramePr/>
                <a:graphic xmlns:a="http://schemas.openxmlformats.org/drawingml/2006/main">
                  <a:graphicData uri="http://schemas.microsoft.com/office/word/2010/wordprocessingShape">
                    <wps:wsp>
                      <wps:cNvSpPr/>
                      <wps:spPr>
                        <a:xfrm>
                          <a:off x="0" y="0"/>
                          <a:ext cx="5875655" cy="2114550"/>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5.25pt;margin-top:-2.7pt;width:462.65pt;height:16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" fillcolor="#fbd4b4 [1305]" stroked="f" strokeweight="2pt"/>
            </w:pict>
          </mc:Fallback>
        </mc:AlternateContent>
      </w:r>
      <w:r w:rsidR="001C6C21" w:rsidRPr="00B6465D">
        <w:rPr>
          <w:rFonts w:ascii="Calibri" w:eastAsia="Calibri" w:hAnsi="Calibri" w:cs="Calibri"/>
          <w:b/>
          <w:color w:val="984806" w:themeColor="accent6" w:themeShade="80"/>
        </w:rPr>
        <w:t xml:space="preserve">Indicator </w:t>
      </w:r>
      <w:r w:rsidR="00682A91">
        <w:rPr>
          <w:rFonts w:ascii="Calibri" w:eastAsia="Calibri" w:hAnsi="Calibri" w:cs="Calibri"/>
          <w:b/>
          <w:color w:val="984806" w:themeColor="accent6" w:themeShade="80"/>
        </w:rPr>
        <w:t>11: PERCENTAGE OF ALL NEW DWELLING COMPLETIONS (GROSS) ON PREVIOUSLY DEVELOPED LAND</w:t>
      </w:r>
    </w:p>
    <w:p w:rsidR="001C6C21" w:rsidRPr="00B6465D" w:rsidRDefault="001C6C21" w:rsidP="001C6C21">
      <w:pPr>
        <w:autoSpaceDE w:val="0"/>
        <w:autoSpaceDN w:val="0"/>
        <w:adjustRightInd w:val="0"/>
        <w:jc w:val="both"/>
        <w:rPr>
          <w:rFonts w:ascii="Calibri" w:eastAsia="Calibri" w:hAnsi="Calibri" w:cs="Calibri"/>
          <w:b/>
          <w:color w:val="984806" w:themeColor="accent6" w:themeShade="80"/>
          <w:sz w:val="10"/>
          <w:szCs w:val="22"/>
        </w:rPr>
      </w:pPr>
    </w:p>
    <w:p w:rsidR="001C6C21" w:rsidRDefault="001C6C21" w:rsidP="001C6C21">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 xml:space="preserve">Target: </w:t>
      </w:r>
      <w:r w:rsidR="008B20EB">
        <w:rPr>
          <w:rFonts w:ascii="Calibri" w:eastAsia="Calibri" w:hAnsi="Calibri" w:cs="Calibri"/>
          <w:b/>
          <w:color w:val="984806" w:themeColor="accent6" w:themeShade="80"/>
          <w:sz w:val="22"/>
          <w:szCs w:val="22"/>
        </w:rPr>
        <w:t>90</w:t>
      </w:r>
      <w:r w:rsidR="00682A91">
        <w:rPr>
          <w:rFonts w:ascii="Calibri" w:eastAsia="Calibri" w:hAnsi="Calibri" w:cs="Calibri"/>
          <w:b/>
          <w:color w:val="984806" w:themeColor="accent6" w:themeShade="80"/>
          <w:sz w:val="22"/>
          <w:szCs w:val="22"/>
        </w:rPr>
        <w:t>%</w:t>
      </w:r>
      <w:r w:rsidR="008B20EB">
        <w:rPr>
          <w:rFonts w:ascii="Calibri" w:eastAsia="Calibri" w:hAnsi="Calibri" w:cs="Calibri"/>
          <w:b/>
          <w:color w:val="984806" w:themeColor="accent6" w:themeShade="80"/>
          <w:sz w:val="22"/>
          <w:szCs w:val="22"/>
        </w:rPr>
        <w:t xml:space="preserve"> </w:t>
      </w:r>
      <w:r w:rsidR="00D54CED">
        <w:rPr>
          <w:rFonts w:ascii="Calibri" w:eastAsia="Calibri" w:hAnsi="Calibri" w:cs="Calibri"/>
          <w:b/>
          <w:color w:val="984806" w:themeColor="accent6" w:themeShade="80"/>
          <w:sz w:val="22"/>
          <w:szCs w:val="22"/>
        </w:rPr>
        <w:t xml:space="preserve">or more </w:t>
      </w:r>
      <w:r w:rsidR="008B20EB">
        <w:rPr>
          <w:rFonts w:ascii="Calibri" w:eastAsia="Calibri" w:hAnsi="Calibri" w:cs="Calibri"/>
          <w:b/>
          <w:color w:val="984806" w:themeColor="accent6" w:themeShade="80"/>
          <w:sz w:val="22"/>
          <w:szCs w:val="22"/>
        </w:rPr>
        <w:t>of new dwellings</w:t>
      </w:r>
      <w:r w:rsidR="00682A91">
        <w:rPr>
          <w:rFonts w:ascii="Calibri" w:eastAsia="Calibri" w:hAnsi="Calibri" w:cs="Calibri"/>
          <w:b/>
          <w:color w:val="984806" w:themeColor="accent6" w:themeShade="80"/>
          <w:sz w:val="22"/>
          <w:szCs w:val="22"/>
        </w:rPr>
        <w:t xml:space="preserve"> on previously developed land </w:t>
      </w:r>
      <w:r w:rsidR="008B20EB">
        <w:rPr>
          <w:rFonts w:ascii="Calibri" w:eastAsia="Calibri" w:hAnsi="Calibri" w:cs="Calibri"/>
          <w:b/>
          <w:color w:val="984806" w:themeColor="accent6" w:themeShade="80"/>
          <w:sz w:val="22"/>
          <w:szCs w:val="22"/>
        </w:rPr>
        <w:t>(2009-2014)</w:t>
      </w:r>
    </w:p>
    <w:p w:rsidR="008B20EB" w:rsidRDefault="008B20EB" w:rsidP="001C6C21">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b/>
          <w:color w:val="984806" w:themeColor="accent6" w:themeShade="80"/>
          <w:sz w:val="22"/>
          <w:szCs w:val="22"/>
        </w:rPr>
        <w:t xml:space="preserve">              75% </w:t>
      </w:r>
      <w:r w:rsidR="00D54CED">
        <w:rPr>
          <w:rFonts w:ascii="Calibri" w:eastAsia="Calibri" w:hAnsi="Calibri" w:cs="Calibri"/>
          <w:b/>
          <w:color w:val="984806" w:themeColor="accent6" w:themeShade="80"/>
          <w:sz w:val="22"/>
          <w:szCs w:val="22"/>
        </w:rPr>
        <w:t xml:space="preserve">or more </w:t>
      </w:r>
      <w:r>
        <w:rPr>
          <w:rFonts w:ascii="Calibri" w:eastAsia="Calibri" w:hAnsi="Calibri" w:cs="Calibri"/>
          <w:b/>
          <w:color w:val="984806" w:themeColor="accent6" w:themeShade="80"/>
          <w:sz w:val="22"/>
          <w:szCs w:val="22"/>
        </w:rPr>
        <w:t>of new dwellings on previously developed land (2014-2026)</w:t>
      </w:r>
    </w:p>
    <w:p w:rsidR="008B20EB" w:rsidRPr="0028433A" w:rsidRDefault="008B20EB" w:rsidP="001C6C21">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color w:val="984806" w:themeColor="accent6" w:themeShade="80"/>
          <w:sz w:val="20"/>
          <w:szCs w:val="22"/>
        </w:rPr>
        <w:t xml:space="preserve">               </w:t>
      </w:r>
      <w:r w:rsidR="00A234AB">
        <w:rPr>
          <w:rFonts w:ascii="Calibri" w:eastAsia="Calibri" w:hAnsi="Calibri" w:cs="Calibri"/>
          <w:color w:val="984806" w:themeColor="accent6" w:themeShade="80"/>
          <w:sz w:val="20"/>
          <w:szCs w:val="22"/>
        </w:rPr>
        <w:t>(Oxford Core Strategy</w:t>
      </w:r>
      <w:r>
        <w:rPr>
          <w:rFonts w:ascii="Calibri" w:eastAsia="Calibri" w:hAnsi="Calibri" w:cs="Calibri"/>
          <w:color w:val="984806" w:themeColor="accent6" w:themeShade="80"/>
          <w:sz w:val="20"/>
          <w:szCs w:val="22"/>
        </w:rPr>
        <w:t xml:space="preserve"> Policy CS2</w:t>
      </w:r>
      <w:r w:rsidRPr="008B20EB">
        <w:rPr>
          <w:rFonts w:ascii="Calibri" w:eastAsia="Calibri" w:hAnsi="Calibri" w:cs="Calibri"/>
          <w:color w:val="984806" w:themeColor="accent6" w:themeShade="80"/>
          <w:sz w:val="20"/>
          <w:szCs w:val="22"/>
        </w:rPr>
        <w:t>)</w:t>
      </w:r>
    </w:p>
    <w:p w:rsidR="001C6C21" w:rsidRPr="00B6465D" w:rsidRDefault="001C6C21" w:rsidP="001C6C21">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1C6C21" w:rsidRPr="00B6465D" w:rsidTr="00682A91">
        <w:trPr>
          <w:trHeight w:val="218"/>
        </w:trPr>
        <w:tc>
          <w:tcPr>
            <w:tcW w:w="5420" w:type="dxa"/>
          </w:tcPr>
          <w:p w:rsidR="001C6C21" w:rsidRPr="00B6465D" w:rsidRDefault="001C6C21" w:rsidP="00682A91">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1C6C21" w:rsidRPr="00B6465D" w:rsidRDefault="001C6C2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1C6C21" w:rsidRPr="00B6465D" w:rsidTr="00682A91">
        <w:tc>
          <w:tcPr>
            <w:tcW w:w="5420" w:type="dxa"/>
            <w:vMerge w:val="restart"/>
          </w:tcPr>
          <w:p w:rsidR="001C6C21" w:rsidRPr="00B6465D" w:rsidRDefault="001C6C21" w:rsidP="00682A91">
            <w:pPr>
              <w:autoSpaceDE w:val="0"/>
              <w:autoSpaceDN w:val="0"/>
              <w:adjustRightInd w:val="0"/>
              <w:jc w:val="center"/>
              <w:rPr>
                <w:rFonts w:ascii="Calibri" w:eastAsia="Calibri" w:hAnsi="Calibri" w:cs="Calibri"/>
                <w:b/>
                <w:color w:val="984806" w:themeColor="accent6" w:themeShade="80"/>
                <w:sz w:val="8"/>
                <w:szCs w:val="8"/>
              </w:rPr>
            </w:pPr>
          </w:p>
          <w:p w:rsidR="001C6C21" w:rsidRPr="00B6465D" w:rsidRDefault="002579D5" w:rsidP="00682A91">
            <w:pPr>
              <w:autoSpaceDE w:val="0"/>
              <w:autoSpaceDN w:val="0"/>
              <w:adjustRightInd w:val="0"/>
              <w:jc w:val="center"/>
              <w:rPr>
                <w:rFonts w:ascii="Calibri" w:eastAsia="Calibri" w:hAnsi="Calibri" w:cs="Calibri"/>
                <w:b/>
                <w:color w:val="984806" w:themeColor="accent6" w:themeShade="80"/>
                <w:sz w:val="12"/>
                <w:szCs w:val="12"/>
              </w:rPr>
            </w:pPr>
            <w:r w:rsidRPr="000B530E">
              <w:rPr>
                <w:b/>
                <w:noProof/>
                <w:color w:val="3F4F21"/>
                <w:sz w:val="32"/>
                <w:szCs w:val="32"/>
                <w:lang w:eastAsia="en-GB"/>
              </w:rPr>
              <w:drawing>
                <wp:inline distT="0" distB="0" distL="0" distR="0" wp14:anchorId="70E273EC" wp14:editId="3A86149A">
                  <wp:extent cx="1666875" cy="501917"/>
                  <wp:effectExtent l="0" t="0" r="0" b="0"/>
                  <wp:docPr id="192" name="Picture 19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1C6C21" w:rsidRPr="00B6465D" w:rsidRDefault="001C6C2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1C6C21" w:rsidRPr="00B6465D" w:rsidRDefault="001C6C21"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44D13921" wp14:editId="29897105">
                  <wp:extent cx="1085850" cy="326964"/>
                  <wp:effectExtent l="0" t="0" r="0" b="0"/>
                  <wp:docPr id="64" name="Picture 6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1C6C21" w:rsidRPr="00B6465D" w:rsidRDefault="001C6C21" w:rsidP="00682A91">
            <w:pPr>
              <w:autoSpaceDE w:val="0"/>
              <w:autoSpaceDN w:val="0"/>
              <w:adjustRightInd w:val="0"/>
              <w:jc w:val="center"/>
              <w:rPr>
                <w:rFonts w:ascii="Calibri" w:eastAsia="Calibri" w:hAnsi="Calibri" w:cs="Calibri"/>
                <w:b/>
                <w:color w:val="984806" w:themeColor="accent6" w:themeShade="80"/>
                <w:sz w:val="8"/>
                <w:szCs w:val="8"/>
              </w:rPr>
            </w:pPr>
          </w:p>
        </w:tc>
      </w:tr>
      <w:tr w:rsidR="001C6C21" w:rsidRPr="00B6465D" w:rsidTr="00682A91">
        <w:tc>
          <w:tcPr>
            <w:tcW w:w="5420" w:type="dxa"/>
            <w:vMerge/>
          </w:tcPr>
          <w:p w:rsidR="001C6C21" w:rsidRPr="00B6465D" w:rsidRDefault="001C6C21" w:rsidP="00682A91">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1C6C21" w:rsidRPr="00B6465D" w:rsidRDefault="001C6C2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1C6C21" w:rsidRPr="00B6465D" w:rsidRDefault="001C6C21"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18C191FA" wp14:editId="5509F065">
                  <wp:extent cx="1085850" cy="326964"/>
                  <wp:effectExtent l="0" t="0" r="0" b="0"/>
                  <wp:docPr id="65" name="Picture 6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682A91" w:rsidRDefault="00682A91" w:rsidP="00A31762"/>
    <w:p w:rsidR="00212022" w:rsidRDefault="00FE482E"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T</w:t>
      </w:r>
      <w:r w:rsidRPr="00FE482E">
        <w:rPr>
          <w:rFonts w:ascii="Calibri" w:eastAsia="Calibri" w:hAnsi="Calibri" w:cs="Calibri"/>
          <w:sz w:val="22"/>
          <w:szCs w:val="22"/>
        </w:rPr>
        <w:t>he N</w:t>
      </w:r>
      <w:r w:rsidR="00212022">
        <w:rPr>
          <w:rFonts w:ascii="Calibri" w:eastAsia="Calibri" w:hAnsi="Calibri" w:cs="Calibri"/>
          <w:sz w:val="22"/>
          <w:szCs w:val="22"/>
        </w:rPr>
        <w:t>PPF</w:t>
      </w:r>
      <w:r w:rsidRPr="00FE482E">
        <w:rPr>
          <w:rFonts w:ascii="Calibri" w:eastAsia="Calibri" w:hAnsi="Calibri" w:cs="Calibri"/>
          <w:sz w:val="22"/>
          <w:szCs w:val="22"/>
        </w:rPr>
        <w:t xml:space="preserve"> does not contain a target for development on </w:t>
      </w:r>
      <w:r w:rsidR="00212022">
        <w:rPr>
          <w:rFonts w:ascii="Calibri" w:eastAsia="Calibri" w:hAnsi="Calibri" w:cs="Calibri"/>
          <w:sz w:val="22"/>
          <w:szCs w:val="22"/>
        </w:rPr>
        <w:t>previously developed land (PDL)</w:t>
      </w:r>
      <w:r w:rsidRPr="00FE482E">
        <w:rPr>
          <w:rFonts w:ascii="Calibri" w:eastAsia="Calibri" w:hAnsi="Calibri" w:cs="Calibri"/>
          <w:sz w:val="22"/>
          <w:szCs w:val="22"/>
        </w:rPr>
        <w:t xml:space="preserve"> and leaves it to local authorities to determine the most appropriate target.  The Core Strategy includes a target of 90% of new housing on PDL during the period 2009-2014</w:t>
      </w:r>
      <w:r w:rsidR="00212022">
        <w:rPr>
          <w:rFonts w:ascii="Calibri" w:eastAsia="Calibri" w:hAnsi="Calibri" w:cs="Calibri"/>
          <w:sz w:val="22"/>
          <w:szCs w:val="22"/>
        </w:rPr>
        <w:t>,</w:t>
      </w:r>
      <w:r w:rsidRPr="00FE482E">
        <w:rPr>
          <w:rFonts w:ascii="Calibri" w:eastAsia="Calibri" w:hAnsi="Calibri" w:cs="Calibri"/>
          <w:sz w:val="22"/>
          <w:szCs w:val="22"/>
        </w:rPr>
        <w:t xml:space="preserve"> </w:t>
      </w:r>
      <w:r w:rsidR="00212022">
        <w:rPr>
          <w:rFonts w:ascii="Calibri" w:eastAsia="Calibri" w:hAnsi="Calibri" w:cs="Calibri"/>
          <w:sz w:val="22"/>
          <w:szCs w:val="22"/>
        </w:rPr>
        <w:t xml:space="preserve">reflecting the </w:t>
      </w:r>
      <w:r w:rsidRPr="00FE482E">
        <w:rPr>
          <w:rFonts w:ascii="Calibri" w:eastAsia="Calibri" w:hAnsi="Calibri" w:cs="Calibri"/>
          <w:sz w:val="22"/>
          <w:szCs w:val="22"/>
        </w:rPr>
        <w:t xml:space="preserve">desire </w:t>
      </w:r>
      <w:r w:rsidR="00212022">
        <w:rPr>
          <w:rFonts w:ascii="Calibri" w:eastAsia="Calibri" w:hAnsi="Calibri" w:cs="Calibri"/>
          <w:sz w:val="22"/>
          <w:szCs w:val="22"/>
        </w:rPr>
        <w:t>to encourage an efficient use of land.</w:t>
      </w:r>
    </w:p>
    <w:p w:rsidR="00D72EF1" w:rsidRPr="00212022" w:rsidRDefault="0021202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The d</w:t>
      </w:r>
      <w:r w:rsidRPr="00FE482E">
        <w:rPr>
          <w:rFonts w:ascii="Calibri" w:eastAsia="Calibri" w:hAnsi="Calibri" w:cs="Calibri"/>
          <w:sz w:val="22"/>
          <w:szCs w:val="22"/>
        </w:rPr>
        <w:t xml:space="preserve">efinition of </w:t>
      </w:r>
      <w:r>
        <w:rPr>
          <w:rFonts w:ascii="Calibri" w:eastAsia="Calibri" w:hAnsi="Calibri" w:cs="Calibri"/>
          <w:sz w:val="22"/>
          <w:szCs w:val="22"/>
        </w:rPr>
        <w:t>PDL</w:t>
      </w:r>
      <w:r w:rsidRPr="00FE482E">
        <w:rPr>
          <w:rFonts w:ascii="Calibri" w:eastAsia="Calibri" w:hAnsi="Calibri" w:cs="Calibri"/>
          <w:sz w:val="22"/>
          <w:szCs w:val="22"/>
        </w:rPr>
        <w:t xml:space="preserve"> was amended in July 2010 by the coalition Government to exclu</w:t>
      </w:r>
      <w:r>
        <w:rPr>
          <w:rFonts w:ascii="Calibri" w:eastAsia="Calibri" w:hAnsi="Calibri" w:cs="Calibri"/>
          <w:sz w:val="22"/>
          <w:szCs w:val="22"/>
        </w:rPr>
        <w:t>de private residential gardens.</w:t>
      </w:r>
      <w:r w:rsidRPr="00FE482E">
        <w:rPr>
          <w:rFonts w:ascii="Calibri" w:eastAsia="Calibri" w:hAnsi="Calibri" w:cs="Calibri"/>
          <w:sz w:val="22"/>
          <w:szCs w:val="22"/>
        </w:rPr>
        <w:t xml:space="preserve"> This does not mean that private residential gardens are necessarily greenfield land, as there is no formal national definition of greenfield land since the revocation of the Town and Country Planning (Residential development on Greenfield Land</w:t>
      </w:r>
      <w:r>
        <w:rPr>
          <w:rFonts w:ascii="Calibri" w:eastAsia="Calibri" w:hAnsi="Calibri" w:cs="Calibri"/>
          <w:sz w:val="22"/>
          <w:szCs w:val="22"/>
        </w:rPr>
        <w:t>)</w:t>
      </w:r>
      <w:r w:rsidRPr="00FE482E">
        <w:rPr>
          <w:rFonts w:ascii="Calibri" w:eastAsia="Calibri" w:hAnsi="Calibri" w:cs="Calibri"/>
          <w:sz w:val="22"/>
          <w:szCs w:val="22"/>
        </w:rPr>
        <w:t xml:space="preserve"> (England) Dir</w:t>
      </w:r>
      <w:r>
        <w:rPr>
          <w:rFonts w:ascii="Calibri" w:eastAsia="Calibri" w:hAnsi="Calibri" w:cs="Calibri"/>
          <w:sz w:val="22"/>
          <w:szCs w:val="22"/>
        </w:rPr>
        <w:t>ection 2000 in 2007. As t</w:t>
      </w:r>
      <w:r w:rsidR="00FE482E" w:rsidRPr="00212022">
        <w:rPr>
          <w:rFonts w:ascii="Calibri" w:eastAsia="Calibri" w:hAnsi="Calibri" w:cs="Calibri"/>
          <w:sz w:val="22"/>
          <w:szCs w:val="22"/>
        </w:rPr>
        <w:t xml:space="preserve">his target was set out when garden land was </w:t>
      </w:r>
      <w:r>
        <w:rPr>
          <w:rFonts w:ascii="Calibri" w:eastAsia="Calibri" w:hAnsi="Calibri" w:cs="Calibri"/>
          <w:sz w:val="22"/>
          <w:szCs w:val="22"/>
        </w:rPr>
        <w:t>still considered PDL,</w:t>
      </w:r>
      <w:r w:rsidR="00FE482E" w:rsidRPr="00212022">
        <w:rPr>
          <w:rFonts w:ascii="Calibri" w:eastAsia="Calibri" w:hAnsi="Calibri" w:cs="Calibri"/>
          <w:sz w:val="22"/>
          <w:szCs w:val="22"/>
        </w:rPr>
        <w:t xml:space="preserve"> the local target is monitored on that basis. </w:t>
      </w:r>
    </w:p>
    <w:p w:rsidR="00FE482E"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12</w:t>
      </w:r>
      <w:r w:rsidR="00212022">
        <w:rPr>
          <w:rFonts w:ascii="Calibri" w:eastAsia="Calibri" w:hAnsi="Calibri" w:cs="Calibri"/>
          <w:sz w:val="22"/>
          <w:szCs w:val="22"/>
        </w:rPr>
        <w:t xml:space="preserve"> shows that </w:t>
      </w:r>
      <w:r w:rsidR="00D72EF1" w:rsidRPr="00D72EF1">
        <w:rPr>
          <w:rFonts w:ascii="Calibri" w:eastAsia="Calibri" w:hAnsi="Calibri" w:cs="Calibri"/>
          <w:sz w:val="22"/>
          <w:szCs w:val="22"/>
        </w:rPr>
        <w:t>100</w:t>
      </w:r>
      <w:r w:rsidR="00FE482E" w:rsidRPr="00D72EF1">
        <w:rPr>
          <w:rFonts w:ascii="Calibri" w:eastAsia="Calibri" w:hAnsi="Calibri" w:cs="Calibri"/>
          <w:sz w:val="22"/>
          <w:szCs w:val="22"/>
        </w:rPr>
        <w:t>%</w:t>
      </w:r>
      <w:r w:rsidR="00212022">
        <w:rPr>
          <w:rFonts w:ascii="Calibri" w:eastAsia="Calibri" w:hAnsi="Calibri" w:cs="Calibri"/>
          <w:sz w:val="22"/>
          <w:szCs w:val="22"/>
        </w:rPr>
        <w:t xml:space="preserve"> of housing completions in 2013/14 </w:t>
      </w:r>
      <w:r w:rsidR="00FE482E" w:rsidRPr="00FE482E">
        <w:rPr>
          <w:rFonts w:ascii="Calibri" w:eastAsia="Calibri" w:hAnsi="Calibri" w:cs="Calibri"/>
          <w:sz w:val="22"/>
          <w:szCs w:val="22"/>
        </w:rPr>
        <w:t>were on PDL</w:t>
      </w:r>
      <w:r w:rsidR="00212022">
        <w:rPr>
          <w:rFonts w:ascii="Calibri" w:eastAsia="Calibri" w:hAnsi="Calibri" w:cs="Calibri"/>
          <w:sz w:val="22"/>
          <w:szCs w:val="22"/>
        </w:rPr>
        <w:t>.</w:t>
      </w:r>
      <w:r w:rsidR="00FE482E" w:rsidRPr="00FE482E">
        <w:rPr>
          <w:rFonts w:ascii="Calibri" w:eastAsia="Calibri" w:hAnsi="Calibri" w:cs="Calibri"/>
          <w:sz w:val="22"/>
          <w:szCs w:val="22"/>
        </w:rPr>
        <w:t xml:space="preserve"> Of these, </w:t>
      </w:r>
      <w:r w:rsidR="00D72EF1">
        <w:rPr>
          <w:rFonts w:ascii="Calibri" w:eastAsia="Calibri" w:hAnsi="Calibri" w:cs="Calibri"/>
          <w:sz w:val="22"/>
          <w:szCs w:val="22"/>
        </w:rPr>
        <w:t xml:space="preserve">37.7% of </w:t>
      </w:r>
      <w:r w:rsidR="00FE482E" w:rsidRPr="00FE482E">
        <w:rPr>
          <w:rFonts w:ascii="Calibri" w:eastAsia="Calibri" w:hAnsi="Calibri" w:cs="Calibri"/>
          <w:sz w:val="22"/>
          <w:szCs w:val="22"/>
        </w:rPr>
        <w:t>dwellings were built on garden land</w:t>
      </w:r>
      <w:r w:rsidR="00D72EF1">
        <w:rPr>
          <w:rFonts w:ascii="Calibri" w:eastAsia="Calibri" w:hAnsi="Calibri" w:cs="Calibri"/>
          <w:sz w:val="22"/>
          <w:szCs w:val="22"/>
        </w:rPr>
        <w:t>,</w:t>
      </w:r>
      <w:r w:rsidR="00FE482E" w:rsidRPr="00FE482E">
        <w:rPr>
          <w:rFonts w:ascii="Calibri" w:eastAsia="Calibri" w:hAnsi="Calibri" w:cs="Calibri"/>
          <w:sz w:val="22"/>
          <w:szCs w:val="22"/>
        </w:rPr>
        <w:t xml:space="preserve"> demonstrating that this</w:t>
      </w:r>
      <w:r w:rsidR="00D72EF1">
        <w:rPr>
          <w:rFonts w:ascii="Calibri" w:eastAsia="Calibri" w:hAnsi="Calibri" w:cs="Calibri"/>
          <w:sz w:val="22"/>
          <w:szCs w:val="22"/>
        </w:rPr>
        <w:t xml:space="preserve"> type of development is an increasingly</w:t>
      </w:r>
      <w:r w:rsidR="00FE482E" w:rsidRPr="00FE482E">
        <w:rPr>
          <w:rFonts w:ascii="Calibri" w:eastAsia="Calibri" w:hAnsi="Calibri" w:cs="Calibri"/>
          <w:sz w:val="22"/>
          <w:szCs w:val="22"/>
        </w:rPr>
        <w:t xml:space="preserve"> important source of new dwellings for Oxford’s housing supply.  In this context, ‘garden land’ includes all development within the curtilage of existing dwellings.  These houses may have been built on areas that were previously occupied by buildings and/ or hard-standing, rather than on gardens in the sense of areas of greenery.  </w:t>
      </w:r>
      <w:r w:rsidR="00D72EF1">
        <w:rPr>
          <w:rFonts w:ascii="Calibri" w:eastAsia="Calibri" w:hAnsi="Calibri" w:cs="Calibri"/>
          <w:sz w:val="22"/>
          <w:szCs w:val="22"/>
        </w:rPr>
        <w:t>No</w:t>
      </w:r>
      <w:r w:rsidR="00FE482E" w:rsidRPr="00FE482E">
        <w:rPr>
          <w:rFonts w:ascii="Calibri" w:eastAsia="Calibri" w:hAnsi="Calibri" w:cs="Calibri"/>
          <w:sz w:val="22"/>
          <w:szCs w:val="22"/>
        </w:rPr>
        <w:t xml:space="preserve"> house</w:t>
      </w:r>
      <w:r w:rsidR="00D72EF1">
        <w:rPr>
          <w:rFonts w:ascii="Calibri" w:eastAsia="Calibri" w:hAnsi="Calibri" w:cs="Calibri"/>
          <w:sz w:val="22"/>
          <w:szCs w:val="22"/>
        </w:rPr>
        <w:t>s were</w:t>
      </w:r>
      <w:r w:rsidR="00FE482E" w:rsidRPr="00FE482E">
        <w:rPr>
          <w:rFonts w:ascii="Calibri" w:eastAsia="Calibri" w:hAnsi="Calibri" w:cs="Calibri"/>
          <w:sz w:val="22"/>
          <w:szCs w:val="22"/>
        </w:rPr>
        <w:t xml:space="preserve"> built on </w:t>
      </w:r>
      <w:proofErr w:type="gramStart"/>
      <w:r w:rsidR="00FE482E" w:rsidRPr="00FE482E">
        <w:rPr>
          <w:rFonts w:ascii="Calibri" w:eastAsia="Calibri" w:hAnsi="Calibri" w:cs="Calibri"/>
          <w:sz w:val="22"/>
          <w:szCs w:val="22"/>
        </w:rPr>
        <w:t>greenfield</w:t>
      </w:r>
      <w:proofErr w:type="gramEnd"/>
      <w:r w:rsidR="00FE482E" w:rsidRPr="00FE482E">
        <w:rPr>
          <w:rFonts w:ascii="Calibri" w:eastAsia="Calibri" w:hAnsi="Calibri" w:cs="Calibri"/>
          <w:sz w:val="22"/>
          <w:szCs w:val="22"/>
        </w:rPr>
        <w:t xml:space="preserve"> land within the monitoring period.  </w:t>
      </w:r>
    </w:p>
    <w:p w:rsidR="00670AA8" w:rsidRPr="00590A67" w:rsidRDefault="00590A67" w:rsidP="00590A67">
      <w:pPr>
        <w:jc w:val="right"/>
        <w:rPr>
          <w:rFonts w:asciiTheme="minorHAnsi" w:hAnsiTheme="minorHAnsi" w:cstheme="minorHAnsi"/>
          <w:sz w:val="22"/>
          <w:szCs w:val="22"/>
        </w:rPr>
      </w:pPr>
      <w:r w:rsidRPr="00590A67">
        <w:rPr>
          <w:rFonts w:ascii="Calibri" w:eastAsia="Calibri" w:hAnsi="Calibri" w:cs="Times New Roman"/>
          <w:noProof/>
          <w:sz w:val="18"/>
          <w:szCs w:val="18"/>
          <w:lang w:eastAsia="en-GB"/>
        </w:rPr>
        <mc:AlternateContent>
          <mc:Choice Requires="wps">
            <w:drawing>
              <wp:anchor distT="0" distB="0" distL="114300" distR="114300" simplePos="0" relativeHeight="251840512" behindDoc="1" locked="0" layoutInCell="1" allowOverlap="1" wp14:anchorId="795844F4" wp14:editId="4A5A44EB">
                <wp:simplePos x="0" y="0"/>
                <wp:positionH relativeFrom="column">
                  <wp:posOffset>0</wp:posOffset>
                </wp:positionH>
                <wp:positionV relativeFrom="paragraph">
                  <wp:posOffset>2675255</wp:posOffset>
                </wp:positionV>
                <wp:extent cx="5857875" cy="238125"/>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5857875" cy="238125"/>
                        </a:xfrm>
                        <a:prstGeom prst="rect">
                          <a:avLst/>
                        </a:prstGeom>
                        <a:solidFill>
                          <a:sysClr val="window" lastClr="FFFFFF"/>
                        </a:solidFill>
                        <a:ln w="6350">
                          <a:noFill/>
                        </a:ln>
                        <a:effectLst/>
                      </wps:spPr>
                      <wps:txbx>
                        <w:txbxContent>
                          <w:p w:rsidR="000D3CFF" w:rsidRPr="006D06A2" w:rsidRDefault="000D3CFF" w:rsidP="00590A67">
                            <w:pPr>
                              <w:jc w:val="center"/>
                              <w:rPr>
                                <w:rFonts w:ascii="Calibri" w:eastAsia="Calibri" w:hAnsi="Calibri" w:cs="Times New Roman"/>
                                <w:b/>
                                <w:sz w:val="20"/>
                              </w:rPr>
                            </w:pPr>
                            <w:r>
                              <w:rPr>
                                <w:rFonts w:ascii="Calibri" w:eastAsia="Calibri" w:hAnsi="Calibri" w:cs="Times New Roman"/>
                                <w:b/>
                                <w:sz w:val="20"/>
                                <w:szCs w:val="22"/>
                              </w:rPr>
                              <w:t>Figure 12:</w:t>
                            </w:r>
                            <w:r>
                              <w:rPr>
                                <w:rFonts w:ascii="Calibri" w:eastAsia="Calibri" w:hAnsi="Calibri" w:cs="Times New Roman"/>
                                <w:sz w:val="20"/>
                                <w:szCs w:val="22"/>
                              </w:rPr>
                              <w:t xml:space="preserve"> Percentage of dwellings completed on PDL, Garden Land and Greenfield Land</w:t>
                            </w:r>
                          </w:p>
                          <w:p w:rsidR="000D3CFF" w:rsidRDefault="000D3CFF" w:rsidP="00590A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44" type="#_x0000_t202" style="position:absolute;left:0;text-align:left;margin-left:0;margin-top:210.65pt;width:461.25pt;height:18.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" fillcolor="window" stroked="f" strokeweight=".5pt">
                <v:textbox>
                  <w:txbxContent>
                    <w:p w:rsidR="000D3CFF" w:rsidRPr="006D06A2" w:rsidRDefault="000D3CFF" w:rsidP="00590A67">
                      <w:pPr>
                        <w:jc w:val="center"/>
                        <w:rPr>
                          <w:rFonts w:ascii="Calibri" w:eastAsia="Calibri" w:hAnsi="Calibri" w:cs="Times New Roman"/>
                          <w:b/>
                          <w:sz w:val="20"/>
                        </w:rPr>
                      </w:pPr>
                      <w:r>
                        <w:rPr>
                          <w:rFonts w:ascii="Calibri" w:eastAsia="Calibri" w:hAnsi="Calibri" w:cs="Times New Roman"/>
                          <w:b/>
                          <w:sz w:val="20"/>
                          <w:szCs w:val="22"/>
                        </w:rPr>
                        <w:t>Figure 12:</w:t>
                      </w:r>
                      <w:r>
                        <w:rPr>
                          <w:rFonts w:ascii="Calibri" w:eastAsia="Calibri" w:hAnsi="Calibri" w:cs="Times New Roman"/>
                          <w:sz w:val="20"/>
                          <w:szCs w:val="22"/>
                        </w:rPr>
                        <w:t xml:space="preserve"> Percentage of dwellings completed on PDL, Garden Land and Greenfield Land</w:t>
                      </w:r>
                    </w:p>
                    <w:p w:rsidR="000D3CFF" w:rsidRDefault="000D3CFF" w:rsidP="00590A67">
                      <w:pPr>
                        <w:jc w:val="center"/>
                      </w:pPr>
                    </w:p>
                  </w:txbxContent>
                </v:textbox>
              </v:shape>
            </w:pict>
          </mc:Fallback>
        </mc:AlternateContent>
      </w:r>
      <w:r w:rsidR="00D72EF1">
        <w:rPr>
          <w:noProof/>
          <w:lang w:eastAsia="en-GB"/>
        </w:rPr>
        <w:drawing>
          <wp:inline distT="0" distB="0" distL="0" distR="0" wp14:anchorId="0412C404" wp14:editId="5EF67C5B">
            <wp:extent cx="5523230" cy="2743200"/>
            <wp:effectExtent l="0" t="0" r="1270" b="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2022" w:rsidRDefault="00212022" w:rsidP="00682A91">
      <w:pPr>
        <w:autoSpaceDE w:val="0"/>
        <w:autoSpaceDN w:val="0"/>
        <w:adjustRightInd w:val="0"/>
        <w:jc w:val="both"/>
        <w:rPr>
          <w:rFonts w:ascii="Calibri" w:eastAsia="Calibri" w:hAnsi="Calibri" w:cs="Calibri"/>
          <w:b/>
          <w:color w:val="984806" w:themeColor="accent6" w:themeShade="80"/>
        </w:rPr>
      </w:pPr>
    </w:p>
    <w:p w:rsidR="00682A91" w:rsidRDefault="00C615C2" w:rsidP="00682A91">
      <w:pPr>
        <w:autoSpaceDE w:val="0"/>
        <w:autoSpaceDN w:val="0"/>
        <w:adjustRightInd w:val="0"/>
        <w:jc w:val="both"/>
        <w:rPr>
          <w:rFonts w:ascii="Calibri" w:eastAsia="Calibri" w:hAnsi="Calibri" w:cs="Calibri"/>
          <w:b/>
          <w:color w:val="984806" w:themeColor="accent6" w:themeShade="80"/>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15936" behindDoc="0" locked="0" layoutInCell="1" allowOverlap="1" wp14:anchorId="310DA406" wp14:editId="735A4268">
                <wp:simplePos x="0" y="0"/>
                <wp:positionH relativeFrom="column">
                  <wp:posOffset>3485515</wp:posOffset>
                </wp:positionH>
                <wp:positionV relativeFrom="paragraph">
                  <wp:posOffset>-588645</wp:posOffset>
                </wp:positionV>
                <wp:extent cx="2427605" cy="352425"/>
                <wp:effectExtent l="0" t="0" r="0" b="9525"/>
                <wp:wrapNone/>
                <wp:docPr id="127" name="Text Box 127"/>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7" o:spid="_x0000_s1045" type="#_x0000_t202" style="position:absolute;left:0;text-align:left;margin-left:274.45pt;margin-top:-46.35pt;width:191.15pt;height:27.7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" fillcolor="window" stroked="f" strokeweight=".5pt">
                <v:textbo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v:textbox>
              </v:shape>
            </w:pict>
          </mc:Fallback>
        </mc:AlternateContent>
      </w: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81792" behindDoc="1" locked="0" layoutInCell="1" allowOverlap="1" wp14:anchorId="68B293E1" wp14:editId="25E00192">
                <wp:simplePos x="0" y="0"/>
                <wp:positionH relativeFrom="column">
                  <wp:posOffset>-66675</wp:posOffset>
                </wp:positionH>
                <wp:positionV relativeFrom="paragraph">
                  <wp:posOffset>-53975</wp:posOffset>
                </wp:positionV>
                <wp:extent cx="5875655" cy="1809750"/>
                <wp:effectExtent l="0" t="0" r="0" b="0"/>
                <wp:wrapNone/>
                <wp:docPr id="72" name="Rectangle 72"/>
                <wp:cNvGraphicFramePr/>
                <a:graphic xmlns:a="http://schemas.openxmlformats.org/drawingml/2006/main">
                  <a:graphicData uri="http://schemas.microsoft.com/office/word/2010/wordprocessingShape">
                    <wps:wsp>
                      <wps:cNvSpPr/>
                      <wps:spPr>
                        <a:xfrm>
                          <a:off x="0" y="0"/>
                          <a:ext cx="5875655" cy="1809750"/>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5.25pt;margin-top:-4.25pt;width:462.65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" fillcolor="#fbd4b4 [1305]" stroked="f" strokeweight="2pt"/>
            </w:pict>
          </mc:Fallback>
        </mc:AlternateContent>
      </w:r>
      <w:r w:rsidR="00682A91" w:rsidRPr="00B6465D">
        <w:rPr>
          <w:rFonts w:ascii="Calibri" w:eastAsia="Calibri" w:hAnsi="Calibri" w:cs="Calibri"/>
          <w:b/>
          <w:color w:val="984806" w:themeColor="accent6" w:themeShade="80"/>
        </w:rPr>
        <w:t xml:space="preserve">Indicator </w:t>
      </w:r>
      <w:r w:rsidR="00682A91">
        <w:rPr>
          <w:rFonts w:ascii="Calibri" w:eastAsia="Calibri" w:hAnsi="Calibri" w:cs="Calibri"/>
          <w:b/>
          <w:color w:val="984806" w:themeColor="accent6" w:themeShade="80"/>
        </w:rPr>
        <w:t>12: MIX OF HOUSING COMPLETED BY SIZE</w:t>
      </w:r>
    </w:p>
    <w:p w:rsidR="00212022" w:rsidRPr="00212022" w:rsidRDefault="00212022" w:rsidP="00682A91">
      <w:pPr>
        <w:autoSpaceDE w:val="0"/>
        <w:autoSpaceDN w:val="0"/>
        <w:adjustRightInd w:val="0"/>
        <w:jc w:val="both"/>
        <w:rPr>
          <w:rFonts w:ascii="Calibri" w:eastAsia="Calibri" w:hAnsi="Calibri" w:cs="Calibri"/>
          <w:b/>
          <w:color w:val="984806" w:themeColor="accent6" w:themeShade="80"/>
          <w:sz w:val="18"/>
          <w:szCs w:val="22"/>
        </w:rPr>
      </w:pPr>
    </w:p>
    <w:p w:rsidR="00682A91" w:rsidRDefault="00682A91" w:rsidP="00682A91">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 xml:space="preserve">Target: </w:t>
      </w:r>
      <w:r>
        <w:rPr>
          <w:rFonts w:ascii="Calibri" w:eastAsia="Calibri" w:hAnsi="Calibri" w:cs="Calibri"/>
          <w:b/>
          <w:color w:val="984806" w:themeColor="accent6" w:themeShade="80"/>
          <w:sz w:val="22"/>
          <w:szCs w:val="22"/>
        </w:rPr>
        <w:t>95% of schemes to comply with the Balance of Dwellings SPD</w:t>
      </w:r>
    </w:p>
    <w:p w:rsidR="00D54CED" w:rsidRPr="008B20EB" w:rsidRDefault="00A234AB" w:rsidP="00D54CED">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color w:val="984806" w:themeColor="accent6" w:themeShade="80"/>
          <w:sz w:val="20"/>
          <w:szCs w:val="22"/>
        </w:rPr>
        <w:t>(Oxford Core Strategy</w:t>
      </w:r>
      <w:r w:rsidR="00D54CED">
        <w:rPr>
          <w:rFonts w:ascii="Calibri" w:eastAsia="Calibri" w:hAnsi="Calibri" w:cs="Calibri"/>
          <w:color w:val="984806" w:themeColor="accent6" w:themeShade="80"/>
          <w:sz w:val="20"/>
          <w:szCs w:val="22"/>
        </w:rPr>
        <w:t xml:space="preserve"> Policy CS23</w:t>
      </w:r>
      <w:r w:rsidR="00D54CED" w:rsidRPr="008B20EB">
        <w:rPr>
          <w:rFonts w:ascii="Calibri" w:eastAsia="Calibri" w:hAnsi="Calibri" w:cs="Calibri"/>
          <w:color w:val="984806" w:themeColor="accent6" w:themeShade="80"/>
          <w:sz w:val="20"/>
          <w:szCs w:val="22"/>
        </w:rPr>
        <w:t>)</w:t>
      </w:r>
    </w:p>
    <w:p w:rsidR="00682A91" w:rsidRPr="00B6465D" w:rsidRDefault="00682A91" w:rsidP="00682A91">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82A91" w:rsidRPr="00B6465D" w:rsidTr="00682A91">
        <w:trPr>
          <w:trHeight w:val="218"/>
        </w:trPr>
        <w:tc>
          <w:tcPr>
            <w:tcW w:w="5420" w:type="dxa"/>
          </w:tcPr>
          <w:p w:rsidR="00682A91" w:rsidRPr="00B6465D" w:rsidRDefault="00682A91" w:rsidP="00682A91">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682A91" w:rsidRPr="00B6465D" w:rsidTr="00682A91">
        <w:tc>
          <w:tcPr>
            <w:tcW w:w="5420" w:type="dxa"/>
            <w:vMerge w:val="restart"/>
          </w:tcPr>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8"/>
                <w:szCs w:val="8"/>
              </w:rPr>
            </w:pPr>
          </w:p>
          <w:p w:rsidR="00682A91" w:rsidRPr="00B6465D" w:rsidRDefault="002579D5" w:rsidP="00682A91">
            <w:pPr>
              <w:autoSpaceDE w:val="0"/>
              <w:autoSpaceDN w:val="0"/>
              <w:adjustRightInd w:val="0"/>
              <w:jc w:val="center"/>
              <w:rPr>
                <w:rFonts w:ascii="Calibri" w:eastAsia="Calibri" w:hAnsi="Calibri" w:cs="Calibri"/>
                <w:b/>
                <w:color w:val="984806" w:themeColor="accent6" w:themeShade="80"/>
                <w:sz w:val="12"/>
                <w:szCs w:val="12"/>
              </w:rPr>
            </w:pPr>
            <w:r>
              <w:rPr>
                <w:b/>
                <w:noProof/>
                <w:sz w:val="32"/>
                <w:szCs w:val="32"/>
                <w:lang w:eastAsia="en-GB"/>
              </w:rPr>
              <w:drawing>
                <wp:inline distT="0" distB="0" distL="0" distR="0" wp14:anchorId="1DA907EC" wp14:editId="78A19FF4">
                  <wp:extent cx="1619250" cy="504996"/>
                  <wp:effectExtent l="0" t="0" r="0" b="9525"/>
                  <wp:docPr id="193" name="Picture 193"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6B824ED2" wp14:editId="0116BFCF">
                  <wp:extent cx="1085850" cy="338644"/>
                  <wp:effectExtent l="0" t="0" r="0" b="4445"/>
                  <wp:docPr id="70" name="Picture 70"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8"/>
                <w:szCs w:val="8"/>
              </w:rPr>
            </w:pPr>
          </w:p>
        </w:tc>
      </w:tr>
      <w:tr w:rsidR="00682A91" w:rsidRPr="00B6465D" w:rsidTr="00682A91">
        <w:tc>
          <w:tcPr>
            <w:tcW w:w="5420" w:type="dxa"/>
            <w:vMerge/>
          </w:tcPr>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60C922DE" wp14:editId="1F4B811C">
                  <wp:extent cx="1085850" cy="338644"/>
                  <wp:effectExtent l="0" t="0" r="0" b="4445"/>
                  <wp:docPr id="71" name="Picture 71"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7E17C3" w:rsidRDefault="007E17C3" w:rsidP="00A31762"/>
    <w:p w:rsidR="00590A67" w:rsidRPr="00590A67" w:rsidRDefault="00590A67" w:rsidP="00590A67">
      <w:pPr>
        <w:autoSpaceDE w:val="0"/>
        <w:autoSpaceDN w:val="0"/>
        <w:adjustRightInd w:val="0"/>
        <w:spacing w:after="200" w:line="276" w:lineRule="auto"/>
        <w:jc w:val="both"/>
        <w:rPr>
          <w:rFonts w:ascii="Calibri" w:eastAsia="Calibri" w:hAnsi="Calibri" w:cs="Calibri"/>
          <w:b/>
          <w:color w:val="984806" w:themeColor="accent6" w:themeShade="80"/>
          <w:sz w:val="22"/>
          <w:szCs w:val="22"/>
        </w:rPr>
      </w:pPr>
      <w:r w:rsidRPr="00590A67">
        <w:rPr>
          <w:rFonts w:ascii="Calibri" w:eastAsia="Calibri" w:hAnsi="Calibri" w:cs="Calibri"/>
          <w:b/>
          <w:color w:val="984806" w:themeColor="accent6" w:themeShade="80"/>
          <w:sz w:val="22"/>
          <w:szCs w:val="22"/>
        </w:rPr>
        <w:t>Overall Mix of Housing Delivered</w:t>
      </w:r>
    </w:p>
    <w:p w:rsidR="00590A67"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13</w:t>
      </w:r>
      <w:r w:rsidR="00590A67">
        <w:rPr>
          <w:rFonts w:ascii="Calibri" w:eastAsia="Calibri" w:hAnsi="Calibri" w:cs="Calibri"/>
          <w:sz w:val="22"/>
          <w:szCs w:val="22"/>
        </w:rPr>
        <w:t xml:space="preserve"> shows dwellings completed in 2013/14 by the number </w:t>
      </w:r>
      <w:r w:rsidR="00857A9C">
        <w:rPr>
          <w:rFonts w:ascii="Calibri" w:eastAsia="Calibri" w:hAnsi="Calibri" w:cs="Calibri"/>
          <w:sz w:val="22"/>
          <w:szCs w:val="22"/>
        </w:rPr>
        <w:t xml:space="preserve">of </w:t>
      </w:r>
      <w:r w:rsidR="00590A67">
        <w:rPr>
          <w:rFonts w:ascii="Calibri" w:eastAsia="Calibri" w:hAnsi="Calibri" w:cs="Calibri"/>
          <w:sz w:val="22"/>
          <w:szCs w:val="22"/>
        </w:rPr>
        <w:t>bedrooms.</w:t>
      </w:r>
      <w:r w:rsidR="00BB5038">
        <w:rPr>
          <w:rFonts w:ascii="Calibri" w:eastAsia="Calibri" w:hAnsi="Calibri" w:cs="Calibri"/>
          <w:sz w:val="22"/>
          <w:szCs w:val="22"/>
        </w:rPr>
        <w:t xml:space="preserve"> </w:t>
      </w:r>
      <w:r w:rsidR="00117DC3">
        <w:rPr>
          <w:rFonts w:ascii="Calibri" w:eastAsia="Calibri" w:hAnsi="Calibri" w:cs="Calibri"/>
          <w:sz w:val="22"/>
          <w:szCs w:val="22"/>
        </w:rPr>
        <w:t xml:space="preserve">The number of 1 bedroom dwellings completed was significantly higher than any other category and made up 61.8% of the total. The number of </w:t>
      </w:r>
      <w:r w:rsidR="0084720A">
        <w:rPr>
          <w:rFonts w:ascii="Calibri" w:eastAsia="Calibri" w:hAnsi="Calibri" w:cs="Calibri"/>
          <w:sz w:val="22"/>
          <w:szCs w:val="22"/>
        </w:rPr>
        <w:t xml:space="preserve">2 and 3 bedroom dwellings completed was much lower, with </w:t>
      </w:r>
      <w:r w:rsidR="00767383">
        <w:rPr>
          <w:rFonts w:ascii="Calibri" w:eastAsia="Calibri" w:hAnsi="Calibri" w:cs="Calibri"/>
          <w:sz w:val="22"/>
          <w:szCs w:val="22"/>
        </w:rPr>
        <w:t xml:space="preserve">the lowest </w:t>
      </w:r>
      <w:r w:rsidR="0084720A">
        <w:rPr>
          <w:rFonts w:ascii="Calibri" w:eastAsia="Calibri" w:hAnsi="Calibri" w:cs="Calibri"/>
          <w:sz w:val="22"/>
          <w:szCs w:val="22"/>
        </w:rPr>
        <w:t xml:space="preserve">gains in 4 and 5+ bedroom dwellings. Losses of 2, 3 and 4 bedroom dwellings were highest, </w:t>
      </w:r>
      <w:r w:rsidR="00641947">
        <w:rPr>
          <w:rFonts w:ascii="Calibri" w:eastAsia="Calibri" w:hAnsi="Calibri" w:cs="Calibri"/>
          <w:sz w:val="22"/>
          <w:szCs w:val="22"/>
        </w:rPr>
        <w:t xml:space="preserve">which is likely to be </w:t>
      </w:r>
      <w:r w:rsidR="0084720A">
        <w:rPr>
          <w:rFonts w:ascii="Calibri" w:eastAsia="Calibri" w:hAnsi="Calibri" w:cs="Calibri"/>
          <w:sz w:val="22"/>
          <w:szCs w:val="22"/>
        </w:rPr>
        <w:t>a result of changes of use from residential (C3) to HMO (C4) and conversions (where one larger dwelling is converted to provide multiple smaller units).</w:t>
      </w:r>
    </w:p>
    <w:p w:rsidR="009747A0" w:rsidRDefault="00AB1DE9" w:rsidP="009747A0">
      <w:p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noProof/>
          <w:sz w:val="22"/>
          <w:szCs w:val="22"/>
          <w:lang w:eastAsia="en-GB"/>
        </w:rPr>
        <mc:AlternateContent>
          <mc:Choice Requires="wps">
            <w:drawing>
              <wp:anchor distT="0" distB="0" distL="114300" distR="114300" simplePos="0" relativeHeight="251899904" behindDoc="0" locked="0" layoutInCell="1" allowOverlap="1" wp14:anchorId="2EA4C1AD" wp14:editId="01A6CDA9">
                <wp:simplePos x="0" y="0"/>
                <wp:positionH relativeFrom="column">
                  <wp:posOffset>-209550</wp:posOffset>
                </wp:positionH>
                <wp:positionV relativeFrom="paragraph">
                  <wp:posOffset>1325245</wp:posOffset>
                </wp:positionV>
                <wp:extent cx="304800" cy="1285875"/>
                <wp:effectExtent l="0" t="0" r="0" b="9525"/>
                <wp:wrapNone/>
                <wp:docPr id="244" name="Text Box 244"/>
                <wp:cNvGraphicFramePr/>
                <a:graphic xmlns:a="http://schemas.openxmlformats.org/drawingml/2006/main">
                  <a:graphicData uri="http://schemas.microsoft.com/office/word/2010/wordprocessingShape">
                    <wps:wsp>
                      <wps:cNvSpPr txBox="1"/>
                      <wps:spPr>
                        <a:xfrm>
                          <a:off x="0" y="0"/>
                          <a:ext cx="3048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CFF" w:rsidRPr="00AB1DE9" w:rsidRDefault="000D3CFF" w:rsidP="00AB1DE9">
                            <w:pPr>
                              <w:jc w:val="center"/>
                              <w:rPr>
                                <w:rFonts w:asciiTheme="minorHAnsi" w:hAnsiTheme="minorHAnsi" w:cstheme="minorHAnsi"/>
                                <w:b/>
                                <w:sz w:val="20"/>
                                <w:szCs w:val="16"/>
                              </w:rPr>
                            </w:pPr>
                            <w:r w:rsidRPr="00AB1DE9">
                              <w:rPr>
                                <w:rFonts w:asciiTheme="minorHAnsi" w:hAnsiTheme="minorHAnsi" w:cstheme="minorHAnsi"/>
                                <w:b/>
                                <w:sz w:val="20"/>
                                <w:szCs w:val="16"/>
                              </w:rPr>
                              <w:t xml:space="preserve">Number of </w:t>
                            </w:r>
                            <w:r>
                              <w:rPr>
                                <w:rFonts w:asciiTheme="minorHAnsi" w:hAnsiTheme="minorHAnsi" w:cstheme="minorHAnsi"/>
                                <w:b/>
                                <w:sz w:val="20"/>
                                <w:szCs w:val="16"/>
                              </w:rPr>
                              <w:t>dwellings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46" type="#_x0000_t202" style="position:absolute;left:0;text-align:left;margin-left:-16.5pt;margin-top:104.35pt;width:24pt;height:101.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" fillcolor="white [3201]" stroked="f" strokeweight=".5pt">
                <v:textbox style="layout-flow:vertical;mso-layout-flow-alt:bottom-to-top">
                  <w:txbxContent>
                    <w:p w:rsidR="000D3CFF" w:rsidRPr="00AB1DE9" w:rsidRDefault="000D3CFF" w:rsidP="00AB1DE9">
                      <w:pPr>
                        <w:jc w:val="center"/>
                        <w:rPr>
                          <w:rFonts w:asciiTheme="minorHAnsi" w:hAnsiTheme="minorHAnsi" w:cstheme="minorHAnsi"/>
                          <w:b/>
                          <w:sz w:val="20"/>
                          <w:szCs w:val="16"/>
                        </w:rPr>
                      </w:pPr>
                      <w:r w:rsidRPr="00AB1DE9">
                        <w:rPr>
                          <w:rFonts w:asciiTheme="minorHAnsi" w:hAnsiTheme="minorHAnsi" w:cstheme="minorHAnsi"/>
                          <w:b/>
                          <w:sz w:val="20"/>
                          <w:szCs w:val="16"/>
                        </w:rPr>
                        <w:t xml:space="preserve">Number of </w:t>
                      </w:r>
                      <w:r>
                        <w:rPr>
                          <w:rFonts w:asciiTheme="minorHAnsi" w:hAnsiTheme="minorHAnsi" w:cstheme="minorHAnsi"/>
                          <w:b/>
                          <w:sz w:val="20"/>
                          <w:szCs w:val="16"/>
                        </w:rPr>
                        <w:t>dwellings</w:t>
                      </w:r>
                    </w:p>
                  </w:txbxContent>
                </v:textbox>
              </v:shape>
            </w:pict>
          </mc:Fallback>
        </mc:AlternateContent>
      </w:r>
      <w:r w:rsidR="00EB143E">
        <w:rPr>
          <w:rFonts w:ascii="Calibri" w:eastAsia="Calibri" w:hAnsi="Calibri" w:cs="Calibri"/>
          <w:noProof/>
          <w:sz w:val="22"/>
          <w:szCs w:val="22"/>
          <w:lang w:eastAsia="en-GB"/>
        </w:rPr>
        <mc:AlternateContent>
          <mc:Choice Requires="wps">
            <w:drawing>
              <wp:anchor distT="0" distB="0" distL="114300" distR="114300" simplePos="0" relativeHeight="251841536" behindDoc="0" locked="0" layoutInCell="1" allowOverlap="1" wp14:anchorId="772C8EA1" wp14:editId="0368A636">
                <wp:simplePos x="0" y="0"/>
                <wp:positionH relativeFrom="column">
                  <wp:posOffset>600075</wp:posOffset>
                </wp:positionH>
                <wp:positionV relativeFrom="paragraph">
                  <wp:posOffset>3297555</wp:posOffset>
                </wp:positionV>
                <wp:extent cx="542925" cy="257175"/>
                <wp:effectExtent l="0" t="0" r="9525" b="9525"/>
                <wp:wrapNone/>
                <wp:docPr id="149" name="Text Box 149"/>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CFF" w:rsidRPr="009747A0" w:rsidRDefault="000D3CFF" w:rsidP="00C02ED0">
                            <w:pPr>
                              <w:jc w:val="center"/>
                              <w:rPr>
                                <w:rFonts w:ascii="Calibri" w:hAnsi="Calibri" w:cs="Calibri"/>
                                <w:sz w:val="20"/>
                                <w:szCs w:val="20"/>
                              </w:rPr>
                            </w:pPr>
                            <w:r w:rsidRPr="009747A0">
                              <w:rPr>
                                <w:rFonts w:ascii="Calibri" w:hAnsi="Calibri" w:cs="Calibri"/>
                                <w:sz w:val="20"/>
                                <w:szCs w:val="20"/>
                              </w:rPr>
                              <w:t>1 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9" o:spid="_x0000_s1047" type="#_x0000_t202" style="position:absolute;left:0;text-align:left;margin-left:47.25pt;margin-top:259.65pt;width:42.75pt;height:20.2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" fillcolor="white [3201]" stroked="f" strokeweight=".5pt">
                <v:textbox>
                  <w:txbxContent>
                    <w:p w:rsidR="000D3CFF" w:rsidRPr="009747A0" w:rsidRDefault="000D3CFF" w:rsidP="00C02ED0">
                      <w:pPr>
                        <w:jc w:val="center"/>
                        <w:rPr>
                          <w:rFonts w:ascii="Calibri" w:hAnsi="Calibri" w:cs="Calibri"/>
                          <w:sz w:val="20"/>
                          <w:szCs w:val="20"/>
                        </w:rPr>
                      </w:pPr>
                      <w:r w:rsidRPr="009747A0">
                        <w:rPr>
                          <w:rFonts w:ascii="Calibri" w:hAnsi="Calibri" w:cs="Calibri"/>
                          <w:sz w:val="20"/>
                          <w:szCs w:val="20"/>
                        </w:rPr>
                        <w:t>1 bed</w:t>
                      </w:r>
                    </w:p>
                  </w:txbxContent>
                </v:textbox>
              </v:shape>
            </w:pict>
          </mc:Fallback>
        </mc:AlternateContent>
      </w:r>
      <w:r w:rsidR="00EB143E" w:rsidRPr="009747A0">
        <w:rPr>
          <w:rFonts w:ascii="Calibri" w:eastAsia="Calibri" w:hAnsi="Calibri" w:cs="Calibri"/>
          <w:noProof/>
          <w:sz w:val="22"/>
          <w:szCs w:val="22"/>
          <w:lang w:eastAsia="en-GB"/>
        </w:rPr>
        <mc:AlternateContent>
          <mc:Choice Requires="wps">
            <w:drawing>
              <wp:anchor distT="0" distB="0" distL="114300" distR="114300" simplePos="0" relativeHeight="251843584" behindDoc="0" locked="0" layoutInCell="1" allowOverlap="1" wp14:anchorId="60BD1DE3" wp14:editId="5230771D">
                <wp:simplePos x="0" y="0"/>
                <wp:positionH relativeFrom="column">
                  <wp:posOffset>1619250</wp:posOffset>
                </wp:positionH>
                <wp:positionV relativeFrom="paragraph">
                  <wp:posOffset>3297555</wp:posOffset>
                </wp:positionV>
                <wp:extent cx="542925" cy="257175"/>
                <wp:effectExtent l="0" t="0" r="9525" b="9525"/>
                <wp:wrapNone/>
                <wp:docPr id="150" name="Text Box 150"/>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ysClr val="window" lastClr="FFFFFF"/>
                        </a:solidFill>
                        <a:ln w="6350">
                          <a:noFill/>
                        </a:ln>
                        <a:effectLst/>
                      </wps:spPr>
                      <wps:txbx>
                        <w:txbxContent>
                          <w:p w:rsidR="000D3CFF" w:rsidRPr="009747A0" w:rsidRDefault="000D3CFF" w:rsidP="009747A0">
                            <w:pPr>
                              <w:rPr>
                                <w:rFonts w:ascii="Calibri" w:hAnsi="Calibri" w:cs="Calibri"/>
                                <w:sz w:val="20"/>
                                <w:szCs w:val="20"/>
                              </w:rPr>
                            </w:pPr>
                            <w:r>
                              <w:rPr>
                                <w:rFonts w:ascii="Calibri" w:hAnsi="Calibri" w:cs="Calibri"/>
                                <w:sz w:val="20"/>
                                <w:szCs w:val="20"/>
                              </w:rPr>
                              <w:t>2</w:t>
                            </w:r>
                            <w:r w:rsidRPr="009747A0">
                              <w:rPr>
                                <w:rFonts w:ascii="Calibri" w:hAnsi="Calibri" w:cs="Calibri"/>
                                <w:sz w:val="20"/>
                                <w:szCs w:val="20"/>
                              </w:rPr>
                              <w:t xml:space="preserve"> </w:t>
                            </w:r>
                            <w:proofErr w:type="gramStart"/>
                            <w:r w:rsidRPr="009747A0">
                              <w:rPr>
                                <w:rFonts w:ascii="Calibri" w:hAnsi="Calibri" w:cs="Calibri"/>
                                <w:sz w:val="20"/>
                                <w:szCs w:val="20"/>
                              </w:rPr>
                              <w:t>bed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0" o:spid="_x0000_s1048" type="#_x0000_t202" style="position:absolute;left:0;text-align:left;margin-left:127.5pt;margin-top:259.65pt;width:42.75pt;height:20.2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" fillcolor="window" stroked="f" strokeweight=".5pt">
                <v:textbox>
                  <w:txbxContent>
                    <w:p w:rsidR="000D3CFF" w:rsidRPr="009747A0" w:rsidRDefault="000D3CFF" w:rsidP="009747A0">
                      <w:pPr>
                        <w:rPr>
                          <w:rFonts w:ascii="Calibri" w:hAnsi="Calibri" w:cs="Calibri"/>
                          <w:sz w:val="20"/>
                          <w:szCs w:val="20"/>
                        </w:rPr>
                      </w:pPr>
                      <w:r>
                        <w:rPr>
                          <w:rFonts w:ascii="Calibri" w:hAnsi="Calibri" w:cs="Calibri"/>
                          <w:sz w:val="20"/>
                          <w:szCs w:val="20"/>
                        </w:rPr>
                        <w:t>2</w:t>
                      </w:r>
                      <w:r w:rsidRPr="009747A0">
                        <w:rPr>
                          <w:rFonts w:ascii="Calibri" w:hAnsi="Calibri" w:cs="Calibri"/>
                          <w:sz w:val="20"/>
                          <w:szCs w:val="20"/>
                        </w:rPr>
                        <w:t xml:space="preserve"> bed</w:t>
                      </w:r>
                    </w:p>
                  </w:txbxContent>
                </v:textbox>
              </v:shape>
            </w:pict>
          </mc:Fallback>
        </mc:AlternateContent>
      </w:r>
      <w:r w:rsidR="00EB143E" w:rsidRPr="009747A0">
        <w:rPr>
          <w:rFonts w:ascii="Calibri" w:eastAsia="Calibri" w:hAnsi="Calibri" w:cs="Calibri"/>
          <w:noProof/>
          <w:sz w:val="22"/>
          <w:szCs w:val="22"/>
          <w:lang w:eastAsia="en-GB"/>
        </w:rPr>
        <mc:AlternateContent>
          <mc:Choice Requires="wps">
            <w:drawing>
              <wp:anchor distT="0" distB="0" distL="114300" distR="114300" simplePos="0" relativeHeight="251845632" behindDoc="0" locked="0" layoutInCell="1" allowOverlap="1" wp14:anchorId="285671B9" wp14:editId="1755860C">
                <wp:simplePos x="0" y="0"/>
                <wp:positionH relativeFrom="column">
                  <wp:posOffset>2581275</wp:posOffset>
                </wp:positionH>
                <wp:positionV relativeFrom="paragraph">
                  <wp:posOffset>3297555</wp:posOffset>
                </wp:positionV>
                <wp:extent cx="542925" cy="257175"/>
                <wp:effectExtent l="0" t="0" r="9525" b="9525"/>
                <wp:wrapNone/>
                <wp:docPr id="154" name="Text Box 154"/>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ysClr val="window" lastClr="FFFFFF"/>
                        </a:solidFill>
                        <a:ln w="6350">
                          <a:noFill/>
                        </a:ln>
                        <a:effectLst/>
                      </wps:spPr>
                      <wps:txbx>
                        <w:txbxContent>
                          <w:p w:rsidR="000D3CFF" w:rsidRPr="009747A0" w:rsidRDefault="000D3CFF" w:rsidP="00C02ED0">
                            <w:pPr>
                              <w:jc w:val="center"/>
                              <w:rPr>
                                <w:rFonts w:ascii="Calibri" w:hAnsi="Calibri" w:cs="Calibri"/>
                                <w:sz w:val="20"/>
                                <w:szCs w:val="20"/>
                              </w:rPr>
                            </w:pPr>
                            <w:r>
                              <w:rPr>
                                <w:rFonts w:ascii="Calibri" w:hAnsi="Calibri" w:cs="Calibri"/>
                                <w:sz w:val="20"/>
                                <w:szCs w:val="20"/>
                              </w:rPr>
                              <w:t>3</w:t>
                            </w:r>
                            <w:r w:rsidRPr="009747A0">
                              <w:rPr>
                                <w:rFonts w:ascii="Calibri" w:hAnsi="Calibri" w:cs="Calibri"/>
                                <w:sz w:val="20"/>
                                <w:szCs w:val="20"/>
                              </w:rPr>
                              <w:t xml:space="preserve"> </w:t>
                            </w:r>
                            <w:proofErr w:type="gramStart"/>
                            <w:r w:rsidRPr="009747A0">
                              <w:rPr>
                                <w:rFonts w:ascii="Calibri" w:hAnsi="Calibri" w:cs="Calibri"/>
                                <w:sz w:val="20"/>
                                <w:szCs w:val="20"/>
                              </w:rPr>
                              <w:t>bed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4" o:spid="_x0000_s1049" type="#_x0000_t202" style="position:absolute;left:0;text-align:left;margin-left:203.25pt;margin-top:259.65pt;width:42.75pt;height:20.2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" fillcolor="window" stroked="f" strokeweight=".5pt">
                <v:textbox>
                  <w:txbxContent>
                    <w:p w:rsidR="000D3CFF" w:rsidRPr="009747A0" w:rsidRDefault="000D3CFF" w:rsidP="00C02ED0">
                      <w:pPr>
                        <w:jc w:val="center"/>
                        <w:rPr>
                          <w:rFonts w:ascii="Calibri" w:hAnsi="Calibri" w:cs="Calibri"/>
                          <w:sz w:val="20"/>
                          <w:szCs w:val="20"/>
                        </w:rPr>
                      </w:pPr>
                      <w:r>
                        <w:rPr>
                          <w:rFonts w:ascii="Calibri" w:hAnsi="Calibri" w:cs="Calibri"/>
                          <w:sz w:val="20"/>
                          <w:szCs w:val="20"/>
                        </w:rPr>
                        <w:t>3</w:t>
                      </w:r>
                      <w:r w:rsidRPr="009747A0">
                        <w:rPr>
                          <w:rFonts w:ascii="Calibri" w:hAnsi="Calibri" w:cs="Calibri"/>
                          <w:sz w:val="20"/>
                          <w:szCs w:val="20"/>
                        </w:rPr>
                        <w:t xml:space="preserve"> bed</w:t>
                      </w:r>
                    </w:p>
                  </w:txbxContent>
                </v:textbox>
              </v:shape>
            </w:pict>
          </mc:Fallback>
        </mc:AlternateContent>
      </w:r>
      <w:r w:rsidR="00EB143E" w:rsidRPr="009747A0">
        <w:rPr>
          <w:rFonts w:ascii="Calibri" w:eastAsia="Calibri" w:hAnsi="Calibri" w:cs="Calibri"/>
          <w:noProof/>
          <w:sz w:val="22"/>
          <w:szCs w:val="22"/>
          <w:lang w:eastAsia="en-GB"/>
        </w:rPr>
        <mc:AlternateContent>
          <mc:Choice Requires="wps">
            <w:drawing>
              <wp:anchor distT="0" distB="0" distL="114300" distR="114300" simplePos="0" relativeHeight="251849728" behindDoc="0" locked="0" layoutInCell="1" allowOverlap="1" wp14:anchorId="47044AE8" wp14:editId="0ABA8A3D">
                <wp:simplePos x="0" y="0"/>
                <wp:positionH relativeFrom="column">
                  <wp:posOffset>4600575</wp:posOffset>
                </wp:positionH>
                <wp:positionV relativeFrom="paragraph">
                  <wp:posOffset>3278505</wp:posOffset>
                </wp:positionV>
                <wp:extent cx="542925" cy="257175"/>
                <wp:effectExtent l="0" t="0" r="9525" b="9525"/>
                <wp:wrapNone/>
                <wp:docPr id="162" name="Text Box 162"/>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ysClr val="window" lastClr="FFFFFF"/>
                        </a:solidFill>
                        <a:ln w="6350">
                          <a:noFill/>
                        </a:ln>
                        <a:effectLst/>
                      </wps:spPr>
                      <wps:txbx>
                        <w:txbxContent>
                          <w:p w:rsidR="000D3CFF" w:rsidRPr="009747A0" w:rsidRDefault="000D3CFF" w:rsidP="00C02ED0">
                            <w:pPr>
                              <w:jc w:val="right"/>
                              <w:rPr>
                                <w:rFonts w:ascii="Calibri" w:hAnsi="Calibri" w:cs="Calibri"/>
                                <w:sz w:val="20"/>
                                <w:szCs w:val="20"/>
                              </w:rPr>
                            </w:pPr>
                            <w:r>
                              <w:rPr>
                                <w:rFonts w:ascii="Calibri" w:hAnsi="Calibri" w:cs="Calibri"/>
                                <w:sz w:val="20"/>
                                <w:szCs w:val="20"/>
                              </w:rPr>
                              <w:t>5+</w:t>
                            </w:r>
                            <w:r w:rsidRPr="009747A0">
                              <w:rPr>
                                <w:rFonts w:ascii="Calibri" w:hAnsi="Calibri" w:cs="Calibri"/>
                                <w:sz w:val="20"/>
                                <w:szCs w:val="20"/>
                              </w:rPr>
                              <w:t xml:space="preserve"> </w:t>
                            </w:r>
                            <w:proofErr w:type="gramStart"/>
                            <w:r w:rsidRPr="009747A0">
                              <w:rPr>
                                <w:rFonts w:ascii="Calibri" w:hAnsi="Calibri" w:cs="Calibri"/>
                                <w:sz w:val="20"/>
                                <w:szCs w:val="20"/>
                              </w:rPr>
                              <w:t>bed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50" type="#_x0000_t202" style="position:absolute;left:0;text-align:left;margin-left:362.25pt;margin-top:258.15pt;width:42.75pt;height:20.2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" fillcolor="window" stroked="f" strokeweight=".5pt">
                <v:textbox>
                  <w:txbxContent>
                    <w:p w:rsidR="000D3CFF" w:rsidRPr="009747A0" w:rsidRDefault="000D3CFF" w:rsidP="00C02ED0">
                      <w:pPr>
                        <w:jc w:val="right"/>
                        <w:rPr>
                          <w:rFonts w:ascii="Calibri" w:hAnsi="Calibri" w:cs="Calibri"/>
                          <w:sz w:val="20"/>
                          <w:szCs w:val="20"/>
                        </w:rPr>
                      </w:pPr>
                      <w:r>
                        <w:rPr>
                          <w:rFonts w:ascii="Calibri" w:hAnsi="Calibri" w:cs="Calibri"/>
                          <w:sz w:val="20"/>
                          <w:szCs w:val="20"/>
                        </w:rPr>
                        <w:t>5+</w:t>
                      </w:r>
                      <w:r w:rsidRPr="009747A0">
                        <w:rPr>
                          <w:rFonts w:ascii="Calibri" w:hAnsi="Calibri" w:cs="Calibri"/>
                          <w:sz w:val="20"/>
                          <w:szCs w:val="20"/>
                        </w:rPr>
                        <w:t xml:space="preserve"> bed</w:t>
                      </w:r>
                    </w:p>
                  </w:txbxContent>
                </v:textbox>
              </v:shape>
            </w:pict>
          </mc:Fallback>
        </mc:AlternateContent>
      </w:r>
      <w:r w:rsidR="00EB143E" w:rsidRPr="009747A0">
        <w:rPr>
          <w:rFonts w:ascii="Calibri" w:eastAsia="Calibri" w:hAnsi="Calibri" w:cs="Calibri"/>
          <w:noProof/>
          <w:sz w:val="22"/>
          <w:szCs w:val="22"/>
          <w:lang w:eastAsia="en-GB"/>
        </w:rPr>
        <mc:AlternateContent>
          <mc:Choice Requires="wps">
            <w:drawing>
              <wp:anchor distT="0" distB="0" distL="114300" distR="114300" simplePos="0" relativeHeight="251847680" behindDoc="0" locked="0" layoutInCell="1" allowOverlap="1" wp14:anchorId="3156057A" wp14:editId="4C1CDF74">
                <wp:simplePos x="0" y="0"/>
                <wp:positionH relativeFrom="column">
                  <wp:posOffset>3667125</wp:posOffset>
                </wp:positionH>
                <wp:positionV relativeFrom="paragraph">
                  <wp:posOffset>3288030</wp:posOffset>
                </wp:positionV>
                <wp:extent cx="542925" cy="257175"/>
                <wp:effectExtent l="0" t="0" r="9525" b="9525"/>
                <wp:wrapNone/>
                <wp:docPr id="158" name="Text Box 158"/>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ysClr val="window" lastClr="FFFFFF"/>
                        </a:solidFill>
                        <a:ln w="6350">
                          <a:noFill/>
                        </a:ln>
                        <a:effectLst/>
                      </wps:spPr>
                      <wps:txbx>
                        <w:txbxContent>
                          <w:p w:rsidR="000D3CFF" w:rsidRPr="009747A0" w:rsidRDefault="000D3CFF" w:rsidP="009747A0">
                            <w:pPr>
                              <w:rPr>
                                <w:rFonts w:ascii="Calibri" w:hAnsi="Calibri" w:cs="Calibri"/>
                                <w:sz w:val="20"/>
                                <w:szCs w:val="20"/>
                              </w:rPr>
                            </w:pPr>
                            <w:r>
                              <w:rPr>
                                <w:rFonts w:ascii="Calibri" w:hAnsi="Calibri" w:cs="Calibri"/>
                                <w:sz w:val="20"/>
                                <w:szCs w:val="20"/>
                              </w:rPr>
                              <w:t>4</w:t>
                            </w:r>
                            <w:r w:rsidRPr="009747A0">
                              <w:rPr>
                                <w:rFonts w:ascii="Calibri" w:hAnsi="Calibri" w:cs="Calibri"/>
                                <w:sz w:val="20"/>
                                <w:szCs w:val="20"/>
                              </w:rPr>
                              <w:t xml:space="preserve"> </w:t>
                            </w:r>
                            <w:proofErr w:type="gramStart"/>
                            <w:r w:rsidRPr="009747A0">
                              <w:rPr>
                                <w:rFonts w:ascii="Calibri" w:hAnsi="Calibri" w:cs="Calibri"/>
                                <w:sz w:val="20"/>
                                <w:szCs w:val="20"/>
                              </w:rPr>
                              <w:t>bed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8" o:spid="_x0000_s1051" type="#_x0000_t202" style="position:absolute;left:0;text-align:left;margin-left:288.75pt;margin-top:258.9pt;width:42.75pt;height:20.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" fillcolor="window" stroked="f" strokeweight=".5pt">
                <v:textbox>
                  <w:txbxContent>
                    <w:p w:rsidR="000D3CFF" w:rsidRPr="009747A0" w:rsidRDefault="000D3CFF" w:rsidP="009747A0">
                      <w:pPr>
                        <w:rPr>
                          <w:rFonts w:ascii="Calibri" w:hAnsi="Calibri" w:cs="Calibri"/>
                          <w:sz w:val="20"/>
                          <w:szCs w:val="20"/>
                        </w:rPr>
                      </w:pPr>
                      <w:r>
                        <w:rPr>
                          <w:rFonts w:ascii="Calibri" w:hAnsi="Calibri" w:cs="Calibri"/>
                          <w:sz w:val="20"/>
                          <w:szCs w:val="20"/>
                        </w:rPr>
                        <w:t>4</w:t>
                      </w:r>
                      <w:r w:rsidRPr="009747A0">
                        <w:rPr>
                          <w:rFonts w:ascii="Calibri" w:hAnsi="Calibri" w:cs="Calibri"/>
                          <w:sz w:val="20"/>
                          <w:szCs w:val="20"/>
                        </w:rPr>
                        <w:t xml:space="preserve"> bed</w:t>
                      </w:r>
                    </w:p>
                  </w:txbxContent>
                </v:textbox>
              </v:shape>
            </w:pict>
          </mc:Fallback>
        </mc:AlternateContent>
      </w:r>
      <w:r w:rsidR="00C02ED0" w:rsidRPr="00BB5038">
        <w:rPr>
          <w:rFonts w:ascii="Calibri" w:eastAsia="Calibri" w:hAnsi="Calibri" w:cs="Times New Roman"/>
          <w:noProof/>
          <w:sz w:val="18"/>
          <w:szCs w:val="18"/>
          <w:lang w:eastAsia="en-GB"/>
        </w:rPr>
        <mc:AlternateContent>
          <mc:Choice Requires="wps">
            <w:drawing>
              <wp:anchor distT="0" distB="0" distL="114300" distR="114300" simplePos="0" relativeHeight="251859968" behindDoc="0" locked="0" layoutInCell="1" allowOverlap="1" wp14:anchorId="0AB53F95" wp14:editId="6654F3D2">
                <wp:simplePos x="0" y="0"/>
                <wp:positionH relativeFrom="column">
                  <wp:posOffset>266700</wp:posOffset>
                </wp:positionH>
                <wp:positionV relativeFrom="paragraph">
                  <wp:posOffset>3707130</wp:posOffset>
                </wp:positionV>
                <wp:extent cx="5286375" cy="238125"/>
                <wp:effectExtent l="0" t="0" r="9525" b="9525"/>
                <wp:wrapNone/>
                <wp:docPr id="177" name="Text Box 177"/>
                <wp:cNvGraphicFramePr/>
                <a:graphic xmlns:a="http://schemas.openxmlformats.org/drawingml/2006/main">
                  <a:graphicData uri="http://schemas.microsoft.com/office/word/2010/wordprocessingShape">
                    <wps:wsp>
                      <wps:cNvSpPr txBox="1"/>
                      <wps:spPr>
                        <a:xfrm>
                          <a:off x="0" y="0"/>
                          <a:ext cx="5286375" cy="238125"/>
                        </a:xfrm>
                        <a:prstGeom prst="rect">
                          <a:avLst/>
                        </a:prstGeom>
                        <a:solidFill>
                          <a:sysClr val="window" lastClr="FFFFFF"/>
                        </a:solidFill>
                        <a:ln w="6350">
                          <a:noFill/>
                        </a:ln>
                        <a:effectLst/>
                      </wps:spPr>
                      <wps:txbx>
                        <w:txbxContent>
                          <w:p w:rsidR="000D3CFF" w:rsidRPr="006D06A2" w:rsidRDefault="000D3CFF" w:rsidP="00BB5038">
                            <w:pPr>
                              <w:jc w:val="center"/>
                              <w:rPr>
                                <w:rFonts w:ascii="Calibri" w:eastAsia="Calibri" w:hAnsi="Calibri" w:cs="Times New Roman"/>
                                <w:b/>
                                <w:sz w:val="20"/>
                              </w:rPr>
                            </w:pPr>
                            <w:r>
                              <w:rPr>
                                <w:rFonts w:ascii="Calibri" w:eastAsia="Calibri" w:hAnsi="Calibri" w:cs="Times New Roman"/>
                                <w:b/>
                                <w:sz w:val="20"/>
                                <w:szCs w:val="22"/>
                              </w:rPr>
                              <w:t>Figure 13:</w:t>
                            </w:r>
                            <w:r>
                              <w:rPr>
                                <w:rFonts w:ascii="Calibri" w:eastAsia="Calibri" w:hAnsi="Calibri" w:cs="Times New Roman"/>
                                <w:sz w:val="20"/>
                                <w:szCs w:val="22"/>
                              </w:rPr>
                              <w:t xml:space="preserve"> D</w:t>
                            </w:r>
                            <w:r w:rsidRPr="00BB5038">
                              <w:rPr>
                                <w:rFonts w:ascii="Calibri" w:eastAsia="Calibri" w:hAnsi="Calibri" w:cs="Times New Roman"/>
                                <w:sz w:val="20"/>
                                <w:szCs w:val="22"/>
                              </w:rPr>
                              <w:t xml:space="preserve">wellings completed in 2013/14 by the number </w:t>
                            </w:r>
                            <w:r>
                              <w:rPr>
                                <w:rFonts w:ascii="Calibri" w:eastAsia="Calibri" w:hAnsi="Calibri" w:cs="Times New Roman"/>
                                <w:sz w:val="20"/>
                                <w:szCs w:val="22"/>
                              </w:rPr>
                              <w:t xml:space="preserve">of </w:t>
                            </w:r>
                            <w:r w:rsidRPr="00BB5038">
                              <w:rPr>
                                <w:rFonts w:ascii="Calibri" w:eastAsia="Calibri" w:hAnsi="Calibri" w:cs="Times New Roman"/>
                                <w:sz w:val="20"/>
                                <w:szCs w:val="22"/>
                              </w:rPr>
                              <w:t>bedrooms</w:t>
                            </w:r>
                          </w:p>
                          <w:p w:rsidR="000D3CFF" w:rsidRDefault="000D3CFF" w:rsidP="00BB50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052" type="#_x0000_t202" style="position:absolute;left:0;text-align:left;margin-left:21pt;margin-top:291.9pt;width:416.25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" fillcolor="window" stroked="f" strokeweight=".5pt">
                <v:textbox>
                  <w:txbxContent>
                    <w:p w:rsidR="000D3CFF" w:rsidRPr="006D06A2" w:rsidRDefault="000D3CFF" w:rsidP="00BB5038">
                      <w:pPr>
                        <w:jc w:val="center"/>
                        <w:rPr>
                          <w:rFonts w:ascii="Calibri" w:eastAsia="Calibri" w:hAnsi="Calibri" w:cs="Times New Roman"/>
                          <w:b/>
                          <w:sz w:val="20"/>
                        </w:rPr>
                      </w:pPr>
                      <w:r>
                        <w:rPr>
                          <w:rFonts w:ascii="Calibri" w:eastAsia="Calibri" w:hAnsi="Calibri" w:cs="Times New Roman"/>
                          <w:b/>
                          <w:sz w:val="20"/>
                          <w:szCs w:val="22"/>
                        </w:rPr>
                        <w:t>Figure 13:</w:t>
                      </w:r>
                      <w:r>
                        <w:rPr>
                          <w:rFonts w:ascii="Calibri" w:eastAsia="Calibri" w:hAnsi="Calibri" w:cs="Times New Roman"/>
                          <w:sz w:val="20"/>
                          <w:szCs w:val="22"/>
                        </w:rPr>
                        <w:t xml:space="preserve"> D</w:t>
                      </w:r>
                      <w:r w:rsidRPr="00BB5038">
                        <w:rPr>
                          <w:rFonts w:ascii="Calibri" w:eastAsia="Calibri" w:hAnsi="Calibri" w:cs="Times New Roman"/>
                          <w:sz w:val="20"/>
                          <w:szCs w:val="22"/>
                        </w:rPr>
                        <w:t xml:space="preserve">wellings completed in 2013/14 by the number </w:t>
                      </w:r>
                      <w:r>
                        <w:rPr>
                          <w:rFonts w:ascii="Calibri" w:eastAsia="Calibri" w:hAnsi="Calibri" w:cs="Times New Roman"/>
                          <w:sz w:val="20"/>
                          <w:szCs w:val="22"/>
                        </w:rPr>
                        <w:t xml:space="preserve">of </w:t>
                      </w:r>
                      <w:r w:rsidRPr="00BB5038">
                        <w:rPr>
                          <w:rFonts w:ascii="Calibri" w:eastAsia="Calibri" w:hAnsi="Calibri" w:cs="Times New Roman"/>
                          <w:sz w:val="20"/>
                          <w:szCs w:val="22"/>
                        </w:rPr>
                        <w:t>bedrooms</w:t>
                      </w:r>
                    </w:p>
                    <w:p w:rsidR="000D3CFF" w:rsidRDefault="000D3CFF" w:rsidP="00BB5038">
                      <w:pPr>
                        <w:jc w:val="center"/>
                      </w:pPr>
                    </w:p>
                  </w:txbxContent>
                </v:textbox>
              </v:shape>
            </w:pict>
          </mc:Fallback>
        </mc:AlternateContent>
      </w:r>
      <w:r w:rsidR="00BB5038">
        <w:rPr>
          <w:noProof/>
          <w:lang w:eastAsia="en-GB"/>
        </w:rPr>
        <mc:AlternateContent>
          <mc:Choice Requires="wps">
            <w:drawing>
              <wp:anchor distT="0" distB="0" distL="114300" distR="114300" simplePos="0" relativeHeight="251857920" behindDoc="0" locked="0" layoutInCell="1" allowOverlap="1" wp14:anchorId="641A9E12" wp14:editId="6C2F101F">
                <wp:simplePos x="0" y="0"/>
                <wp:positionH relativeFrom="column">
                  <wp:posOffset>5381625</wp:posOffset>
                </wp:positionH>
                <wp:positionV relativeFrom="paragraph">
                  <wp:posOffset>220980</wp:posOffset>
                </wp:positionV>
                <wp:extent cx="19050" cy="3076575"/>
                <wp:effectExtent l="0" t="0" r="19050" b="28575"/>
                <wp:wrapNone/>
                <wp:docPr id="174" name="Straight Connector 1"/>
                <wp:cNvGraphicFramePr/>
                <a:graphic xmlns:a="http://schemas.openxmlformats.org/drawingml/2006/main">
                  <a:graphicData uri="http://schemas.microsoft.com/office/word/2010/wordprocessingShape">
                    <wps:wsp>
                      <wps:cNvCnPr/>
                      <wps:spPr>
                        <a:xfrm>
                          <a:off x="0" y="0"/>
                          <a:ext cx="19050" cy="3076575"/>
                        </a:xfrm>
                        <a:prstGeom prst="line">
                          <a:avLst/>
                        </a:prstGeom>
                        <a:noFill/>
                        <a:ln w="9525" cap="flat" cmpd="sng" algn="ctr">
                          <a:solidFill>
                            <a:sysClr val="window" lastClr="FFFFFF">
                              <a:lumMod val="50000"/>
                            </a:sysClr>
                          </a:solidFill>
                          <a:prstDash val="dashDot"/>
                        </a:ln>
                        <a:effectLst/>
                      </wps:spPr>
                      <wps:bodyPr/>
                    </wps:wsp>
                  </a:graphicData>
                </a:graphic>
              </wp:anchor>
            </w:drawing>
          </mc:Choice>
          <mc:Fallback>
            <w:pict>
              <v:line id="Straight Connector 1"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423.75pt,17.4pt" to="425.2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" strokecolor="#7f7f7f">
                <v:stroke dashstyle="dashDot"/>
              </v:line>
            </w:pict>
          </mc:Fallback>
        </mc:AlternateContent>
      </w:r>
      <w:r w:rsidR="00BB5038">
        <w:rPr>
          <w:noProof/>
          <w:lang w:eastAsia="en-GB"/>
        </w:rPr>
        <mc:AlternateContent>
          <mc:Choice Requires="wps">
            <w:drawing>
              <wp:anchor distT="0" distB="0" distL="114300" distR="114300" simplePos="0" relativeHeight="251855872" behindDoc="0" locked="0" layoutInCell="1" allowOverlap="1" wp14:anchorId="648A7191" wp14:editId="2E33AEB4">
                <wp:simplePos x="0" y="0"/>
                <wp:positionH relativeFrom="column">
                  <wp:posOffset>4391025</wp:posOffset>
                </wp:positionH>
                <wp:positionV relativeFrom="paragraph">
                  <wp:posOffset>220980</wp:posOffset>
                </wp:positionV>
                <wp:extent cx="19050" cy="3076575"/>
                <wp:effectExtent l="0" t="0" r="19050" b="28575"/>
                <wp:wrapNone/>
                <wp:docPr id="169" name="Straight Connector 1"/>
                <wp:cNvGraphicFramePr/>
                <a:graphic xmlns:a="http://schemas.openxmlformats.org/drawingml/2006/main">
                  <a:graphicData uri="http://schemas.microsoft.com/office/word/2010/wordprocessingShape">
                    <wps:wsp>
                      <wps:cNvCnPr/>
                      <wps:spPr>
                        <a:xfrm>
                          <a:off x="0" y="0"/>
                          <a:ext cx="19050" cy="3076575"/>
                        </a:xfrm>
                        <a:prstGeom prst="line">
                          <a:avLst/>
                        </a:prstGeom>
                        <a:noFill/>
                        <a:ln w="9525" cap="flat" cmpd="sng" algn="ctr">
                          <a:solidFill>
                            <a:sysClr val="window" lastClr="FFFFFF">
                              <a:lumMod val="50000"/>
                            </a:sysClr>
                          </a:solidFill>
                          <a:prstDash val="dashDot"/>
                        </a:ln>
                        <a:effectLst/>
                      </wps:spPr>
                      <wps:bodyPr/>
                    </wps:wsp>
                  </a:graphicData>
                </a:graphic>
              </wp:anchor>
            </w:drawing>
          </mc:Choice>
          <mc:Fallback>
            <w:pict>
              <v:line id="Straight Connector 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45.75pt,17.4pt" to="347.2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" strokecolor="#7f7f7f">
                <v:stroke dashstyle="dashDot"/>
              </v:line>
            </w:pict>
          </mc:Fallback>
        </mc:AlternateContent>
      </w:r>
      <w:r w:rsidR="00BB5038">
        <w:rPr>
          <w:noProof/>
          <w:lang w:eastAsia="en-GB"/>
        </w:rPr>
        <mc:AlternateContent>
          <mc:Choice Requires="wps">
            <w:drawing>
              <wp:anchor distT="0" distB="0" distL="114300" distR="114300" simplePos="0" relativeHeight="251853824" behindDoc="0" locked="0" layoutInCell="1" allowOverlap="1" wp14:anchorId="0FC1FFDE" wp14:editId="20819E46">
                <wp:simplePos x="0" y="0"/>
                <wp:positionH relativeFrom="column">
                  <wp:posOffset>3362325</wp:posOffset>
                </wp:positionH>
                <wp:positionV relativeFrom="paragraph">
                  <wp:posOffset>220980</wp:posOffset>
                </wp:positionV>
                <wp:extent cx="19050" cy="3076575"/>
                <wp:effectExtent l="0" t="0" r="19050" b="28575"/>
                <wp:wrapNone/>
                <wp:docPr id="166" name="Straight Connector 1"/>
                <wp:cNvGraphicFramePr/>
                <a:graphic xmlns:a="http://schemas.openxmlformats.org/drawingml/2006/main">
                  <a:graphicData uri="http://schemas.microsoft.com/office/word/2010/wordprocessingShape">
                    <wps:wsp>
                      <wps:cNvCnPr/>
                      <wps:spPr>
                        <a:xfrm>
                          <a:off x="0" y="0"/>
                          <a:ext cx="19050" cy="3076575"/>
                        </a:xfrm>
                        <a:prstGeom prst="line">
                          <a:avLst/>
                        </a:prstGeom>
                        <a:noFill/>
                        <a:ln w="9525" cap="flat" cmpd="sng" algn="ctr">
                          <a:solidFill>
                            <a:sysClr val="window" lastClr="FFFFFF">
                              <a:lumMod val="50000"/>
                            </a:sysClr>
                          </a:solidFill>
                          <a:prstDash val="dashDot"/>
                        </a:ln>
                        <a:effectLst/>
                      </wps:spPr>
                      <wps:bodyPr/>
                    </wps:wsp>
                  </a:graphicData>
                </a:graphic>
              </wp:anchor>
            </w:drawing>
          </mc:Choice>
          <mc:Fallback>
            <w:pict>
              <v:line id="Straight Connector 1"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64.75pt,17.4pt" to="266.2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" strokecolor="#7f7f7f">
                <v:stroke dashstyle="dashDot"/>
              </v:line>
            </w:pict>
          </mc:Fallback>
        </mc:AlternateContent>
      </w:r>
      <w:r w:rsidR="00BB5038">
        <w:rPr>
          <w:noProof/>
          <w:lang w:eastAsia="en-GB"/>
        </w:rPr>
        <mc:AlternateContent>
          <mc:Choice Requires="wps">
            <w:drawing>
              <wp:anchor distT="0" distB="0" distL="114300" distR="114300" simplePos="0" relativeHeight="251851776" behindDoc="0" locked="0" layoutInCell="1" allowOverlap="1" wp14:anchorId="27A1A6DE" wp14:editId="7F8B5867">
                <wp:simplePos x="0" y="0"/>
                <wp:positionH relativeFrom="column">
                  <wp:posOffset>2333625</wp:posOffset>
                </wp:positionH>
                <wp:positionV relativeFrom="paragraph">
                  <wp:posOffset>220980</wp:posOffset>
                </wp:positionV>
                <wp:extent cx="19050" cy="3076575"/>
                <wp:effectExtent l="0" t="0" r="19050" b="28575"/>
                <wp:wrapNone/>
                <wp:docPr id="164" name="Straight Connector 1"/>
                <wp:cNvGraphicFramePr/>
                <a:graphic xmlns:a="http://schemas.openxmlformats.org/drawingml/2006/main">
                  <a:graphicData uri="http://schemas.microsoft.com/office/word/2010/wordprocessingShape">
                    <wps:wsp>
                      <wps:cNvCnPr/>
                      <wps:spPr>
                        <a:xfrm>
                          <a:off x="0" y="0"/>
                          <a:ext cx="19050" cy="3076575"/>
                        </a:xfrm>
                        <a:prstGeom prst="line">
                          <a:avLst/>
                        </a:prstGeom>
                        <a:noFill/>
                        <a:ln w="9525" cap="flat" cmpd="sng" algn="ctr">
                          <a:solidFill>
                            <a:sysClr val="window" lastClr="FFFFFF">
                              <a:lumMod val="50000"/>
                            </a:sysClr>
                          </a:solidFill>
                          <a:prstDash val="dashDot"/>
                        </a:ln>
                        <a:effectLst/>
                      </wps:spPr>
                      <wps:bodyPr/>
                    </wps:wsp>
                  </a:graphicData>
                </a:graphic>
              </wp:anchor>
            </w:drawing>
          </mc:Choice>
          <mc:Fallback>
            <w:pict>
              <v:line id="Straight Connector 1"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83.75pt,17.4pt" to="185.2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" strokecolor="#7f7f7f">
                <v:stroke dashstyle="dashDot"/>
              </v:line>
            </w:pict>
          </mc:Fallback>
        </mc:AlternateContent>
      </w:r>
      <w:r w:rsidR="009747A0">
        <w:rPr>
          <w:noProof/>
          <w:lang w:eastAsia="en-GB"/>
        </w:rPr>
        <w:drawing>
          <wp:inline distT="0" distB="0" distL="0" distR="0" wp14:anchorId="1FCB6BBE" wp14:editId="59F12952">
            <wp:extent cx="6057900" cy="4095750"/>
            <wp:effectExtent l="0" t="0" r="0" b="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0A67" w:rsidRDefault="001A4244"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T</w:t>
      </w:r>
      <w:r w:rsidR="00AB1DE9">
        <w:rPr>
          <w:rFonts w:ascii="Calibri" w:eastAsia="Calibri" w:hAnsi="Calibri" w:cs="Calibri"/>
          <w:sz w:val="22"/>
          <w:szCs w:val="22"/>
        </w:rPr>
        <w:t>he B</w:t>
      </w:r>
      <w:r w:rsidR="006673D5">
        <w:rPr>
          <w:rFonts w:ascii="Calibri" w:eastAsia="Calibri" w:hAnsi="Calibri" w:cs="Calibri"/>
          <w:sz w:val="22"/>
          <w:szCs w:val="22"/>
        </w:rPr>
        <w:t>alance of D</w:t>
      </w:r>
      <w:r>
        <w:rPr>
          <w:rFonts w:ascii="Calibri" w:eastAsia="Calibri" w:hAnsi="Calibri" w:cs="Calibri"/>
          <w:sz w:val="22"/>
          <w:szCs w:val="22"/>
        </w:rPr>
        <w:t xml:space="preserve">wellings </w:t>
      </w:r>
      <w:r w:rsidR="006673D5">
        <w:rPr>
          <w:rFonts w:ascii="Calibri" w:eastAsia="Calibri" w:hAnsi="Calibri" w:cs="Calibri"/>
          <w:sz w:val="22"/>
          <w:szCs w:val="22"/>
        </w:rPr>
        <w:t>(</w:t>
      </w:r>
      <w:proofErr w:type="spellStart"/>
      <w:r w:rsidR="006673D5">
        <w:rPr>
          <w:rFonts w:ascii="Calibri" w:eastAsia="Calibri" w:hAnsi="Calibri" w:cs="Calibri"/>
          <w:sz w:val="22"/>
          <w:szCs w:val="22"/>
        </w:rPr>
        <w:t>BoDs</w:t>
      </w:r>
      <w:proofErr w:type="spellEnd"/>
      <w:r w:rsidR="006673D5">
        <w:rPr>
          <w:rFonts w:ascii="Calibri" w:eastAsia="Calibri" w:hAnsi="Calibri" w:cs="Calibri"/>
          <w:sz w:val="22"/>
          <w:szCs w:val="22"/>
        </w:rPr>
        <w:t>)</w:t>
      </w:r>
      <w:r w:rsidR="00767383">
        <w:rPr>
          <w:rFonts w:ascii="Calibri" w:eastAsia="Calibri" w:hAnsi="Calibri" w:cs="Calibri"/>
          <w:sz w:val="22"/>
          <w:szCs w:val="22"/>
        </w:rPr>
        <w:t xml:space="preserve"> </w:t>
      </w:r>
      <w:r>
        <w:rPr>
          <w:rFonts w:ascii="Calibri" w:eastAsia="Calibri" w:hAnsi="Calibri" w:cs="Calibri"/>
          <w:sz w:val="22"/>
          <w:szCs w:val="22"/>
        </w:rPr>
        <w:t xml:space="preserve">SPD was adopted in January 2008 with the aim of preventing the loss of family dwellings and their supply in new developments. </w:t>
      </w:r>
      <w:r w:rsidR="008B306D">
        <w:rPr>
          <w:rFonts w:ascii="Calibri" w:eastAsia="Calibri" w:hAnsi="Calibri" w:cs="Calibri"/>
          <w:sz w:val="22"/>
          <w:szCs w:val="22"/>
        </w:rPr>
        <w:t>Figure 14</w:t>
      </w:r>
      <w:r w:rsidR="00C02ED0">
        <w:rPr>
          <w:rFonts w:ascii="Calibri" w:eastAsia="Calibri" w:hAnsi="Calibri" w:cs="Calibri"/>
          <w:sz w:val="22"/>
          <w:szCs w:val="22"/>
        </w:rPr>
        <w:t xml:space="preserve"> shows</w:t>
      </w:r>
      <w:r>
        <w:rPr>
          <w:rFonts w:ascii="Calibri" w:eastAsia="Calibri" w:hAnsi="Calibri" w:cs="Calibri"/>
          <w:sz w:val="22"/>
          <w:szCs w:val="22"/>
        </w:rPr>
        <w:t xml:space="preserve"> the mix of dwellings completed </w:t>
      </w:r>
      <w:r w:rsidR="00767383">
        <w:rPr>
          <w:rFonts w:ascii="Calibri" w:eastAsia="Calibri" w:hAnsi="Calibri" w:cs="Calibri"/>
          <w:sz w:val="22"/>
          <w:szCs w:val="22"/>
        </w:rPr>
        <w:t>over time. From 2010/11 onwards</w:t>
      </w:r>
      <w:r>
        <w:rPr>
          <w:rFonts w:ascii="Calibri" w:eastAsia="Calibri" w:hAnsi="Calibri" w:cs="Calibri"/>
          <w:sz w:val="22"/>
          <w:szCs w:val="22"/>
        </w:rPr>
        <w:t xml:space="preserve"> the proportion of 1 bedroom dwellings completed has</w:t>
      </w:r>
      <w:r w:rsidR="002C673B">
        <w:rPr>
          <w:rFonts w:ascii="Calibri" w:eastAsia="Calibri" w:hAnsi="Calibri" w:cs="Calibri"/>
          <w:sz w:val="22"/>
          <w:szCs w:val="22"/>
        </w:rPr>
        <w:t xml:space="preserve"> significantly</w:t>
      </w:r>
      <w:r>
        <w:rPr>
          <w:rFonts w:ascii="Calibri" w:eastAsia="Calibri" w:hAnsi="Calibri" w:cs="Calibri"/>
          <w:sz w:val="22"/>
          <w:szCs w:val="22"/>
        </w:rPr>
        <w:t xml:space="preserve"> increased</w:t>
      </w:r>
      <w:r w:rsidR="002C673B">
        <w:rPr>
          <w:rFonts w:ascii="Calibri" w:eastAsia="Calibri" w:hAnsi="Calibri" w:cs="Calibri"/>
          <w:sz w:val="22"/>
          <w:szCs w:val="22"/>
        </w:rPr>
        <w:t>. This</w:t>
      </w:r>
      <w:r w:rsidR="00767383">
        <w:rPr>
          <w:rFonts w:ascii="Calibri" w:eastAsia="Calibri" w:hAnsi="Calibri" w:cs="Calibri"/>
          <w:sz w:val="22"/>
          <w:szCs w:val="22"/>
        </w:rPr>
        <w:t xml:space="preserve"> is </w:t>
      </w:r>
      <w:r w:rsidR="00C02ED0">
        <w:rPr>
          <w:rFonts w:ascii="Calibri" w:eastAsia="Calibri" w:hAnsi="Calibri" w:cs="Calibri"/>
          <w:sz w:val="22"/>
          <w:szCs w:val="22"/>
        </w:rPr>
        <w:t>likely to be due to the</w:t>
      </w:r>
      <w:r w:rsidR="002C673B">
        <w:rPr>
          <w:rFonts w:ascii="Calibri" w:eastAsia="Calibri" w:hAnsi="Calibri" w:cs="Calibri"/>
          <w:sz w:val="22"/>
          <w:szCs w:val="22"/>
        </w:rPr>
        <w:t>re being</w:t>
      </w:r>
      <w:r w:rsidR="00C02ED0">
        <w:rPr>
          <w:rFonts w:ascii="Calibri" w:eastAsia="Calibri" w:hAnsi="Calibri" w:cs="Calibri"/>
          <w:sz w:val="22"/>
          <w:szCs w:val="22"/>
        </w:rPr>
        <w:t xml:space="preserve"> few large h</w:t>
      </w:r>
      <w:r w:rsidR="00767383">
        <w:rPr>
          <w:rFonts w:ascii="Calibri" w:eastAsia="Calibri" w:hAnsi="Calibri" w:cs="Calibri"/>
          <w:sz w:val="22"/>
          <w:szCs w:val="22"/>
        </w:rPr>
        <w:t>ousing sites being</w:t>
      </w:r>
      <w:r w:rsidR="008455CE">
        <w:rPr>
          <w:rFonts w:ascii="Calibri" w:eastAsia="Calibri" w:hAnsi="Calibri" w:cs="Calibri"/>
          <w:sz w:val="22"/>
          <w:szCs w:val="22"/>
        </w:rPr>
        <w:t xml:space="preserve"> developed</w:t>
      </w:r>
      <w:r w:rsidR="00C02ED0">
        <w:rPr>
          <w:rFonts w:ascii="Calibri" w:eastAsia="Calibri" w:hAnsi="Calibri" w:cs="Calibri"/>
          <w:sz w:val="22"/>
          <w:szCs w:val="22"/>
        </w:rPr>
        <w:t xml:space="preserve"> where a greater mix of dwellings could be achieved</w:t>
      </w:r>
      <w:r w:rsidR="00767383">
        <w:rPr>
          <w:rFonts w:ascii="Calibri" w:eastAsia="Calibri" w:hAnsi="Calibri" w:cs="Calibri"/>
          <w:sz w:val="22"/>
          <w:szCs w:val="22"/>
        </w:rPr>
        <w:t xml:space="preserve">, as well as </w:t>
      </w:r>
      <w:r w:rsidR="00767383">
        <w:rPr>
          <w:rFonts w:ascii="Calibri" w:eastAsia="Calibri" w:hAnsi="Calibri" w:cs="Calibri"/>
          <w:sz w:val="22"/>
          <w:szCs w:val="22"/>
        </w:rPr>
        <w:lastRenderedPageBreak/>
        <w:t>increasing conversions and garden land development</w:t>
      </w:r>
      <w:r w:rsidR="00C02ED0">
        <w:rPr>
          <w:rFonts w:ascii="Calibri" w:eastAsia="Calibri" w:hAnsi="Calibri" w:cs="Calibri"/>
          <w:sz w:val="22"/>
          <w:szCs w:val="22"/>
        </w:rPr>
        <w:t xml:space="preserve">. </w:t>
      </w:r>
      <w:r w:rsidR="002C673B">
        <w:rPr>
          <w:rFonts w:ascii="Calibri" w:eastAsia="Calibri" w:hAnsi="Calibri" w:cs="Calibri"/>
          <w:sz w:val="22"/>
          <w:szCs w:val="22"/>
        </w:rPr>
        <w:t xml:space="preserve">The requirements of the </w:t>
      </w:r>
      <w:proofErr w:type="spellStart"/>
      <w:r w:rsidR="002C673B">
        <w:rPr>
          <w:rFonts w:ascii="Calibri" w:eastAsia="Calibri" w:hAnsi="Calibri" w:cs="Calibri"/>
          <w:sz w:val="22"/>
          <w:szCs w:val="22"/>
        </w:rPr>
        <w:t>B</w:t>
      </w:r>
      <w:r w:rsidR="006673D5">
        <w:rPr>
          <w:rFonts w:ascii="Calibri" w:eastAsia="Calibri" w:hAnsi="Calibri" w:cs="Calibri"/>
          <w:sz w:val="22"/>
          <w:szCs w:val="22"/>
        </w:rPr>
        <w:t>oDs</w:t>
      </w:r>
      <w:proofErr w:type="spellEnd"/>
      <w:r w:rsidR="00767383">
        <w:rPr>
          <w:rFonts w:ascii="Calibri" w:eastAsia="Calibri" w:hAnsi="Calibri" w:cs="Calibri"/>
          <w:sz w:val="22"/>
          <w:szCs w:val="22"/>
        </w:rPr>
        <w:t xml:space="preserve"> SPD only apply</w:t>
      </w:r>
      <w:r w:rsidR="002C673B">
        <w:rPr>
          <w:rFonts w:ascii="Calibri" w:eastAsia="Calibri" w:hAnsi="Calibri" w:cs="Calibri"/>
          <w:sz w:val="22"/>
          <w:szCs w:val="22"/>
        </w:rPr>
        <w:t xml:space="preserve"> to sites of </w:t>
      </w:r>
      <w:r w:rsidR="00607718">
        <w:rPr>
          <w:rFonts w:ascii="Calibri" w:eastAsia="Calibri" w:hAnsi="Calibri" w:cs="Calibri"/>
          <w:sz w:val="22"/>
          <w:szCs w:val="22"/>
        </w:rPr>
        <w:t>4</w:t>
      </w:r>
      <w:r w:rsidR="002C673B">
        <w:rPr>
          <w:rFonts w:ascii="Calibri" w:eastAsia="Calibri" w:hAnsi="Calibri" w:cs="Calibri"/>
          <w:sz w:val="22"/>
          <w:szCs w:val="22"/>
        </w:rPr>
        <w:t xml:space="preserve"> or more dwellings. </w:t>
      </w:r>
    </w:p>
    <w:p w:rsidR="00A57C18" w:rsidRPr="00A71C31" w:rsidRDefault="008455CE" w:rsidP="00A71C31">
      <w:pPr>
        <w:numPr>
          <w:ilvl w:val="1"/>
          <w:numId w:val="9"/>
        </w:numPr>
        <w:autoSpaceDE w:val="0"/>
        <w:autoSpaceDN w:val="0"/>
        <w:adjustRightInd w:val="0"/>
        <w:spacing w:after="200" w:line="276" w:lineRule="auto"/>
        <w:jc w:val="both"/>
        <w:rPr>
          <w:rFonts w:ascii="Calibri" w:eastAsia="Calibri" w:hAnsi="Calibri" w:cs="Calibri"/>
          <w:sz w:val="22"/>
          <w:szCs w:val="22"/>
        </w:rPr>
      </w:pPr>
      <w:r w:rsidRPr="00C02ED0">
        <w:rPr>
          <w:rFonts w:ascii="Calibri" w:eastAsia="Calibri" w:hAnsi="Calibri" w:cs="Calibri"/>
          <w:b/>
          <w:noProof/>
          <w:color w:val="000000"/>
          <w:sz w:val="32"/>
          <w:szCs w:val="32"/>
          <w:lang w:eastAsia="en-GB"/>
        </w:rPr>
        <mc:AlternateContent>
          <mc:Choice Requires="wps">
            <w:drawing>
              <wp:anchor distT="0" distB="0" distL="114300" distR="114300" simplePos="0" relativeHeight="251862016" behindDoc="0" locked="0" layoutInCell="1" allowOverlap="1" wp14:anchorId="13CB0BB4" wp14:editId="6F8CB4DB">
                <wp:simplePos x="0" y="0"/>
                <wp:positionH relativeFrom="column">
                  <wp:posOffset>3504565</wp:posOffset>
                </wp:positionH>
                <wp:positionV relativeFrom="paragraph">
                  <wp:posOffset>-1153160</wp:posOffset>
                </wp:positionV>
                <wp:extent cx="2427605" cy="352425"/>
                <wp:effectExtent l="0" t="0" r="0" b="9525"/>
                <wp:wrapNone/>
                <wp:docPr id="188" name="Text Box 18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C02ED0">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8" o:spid="_x0000_s1053" type="#_x0000_t202" style="position:absolute;left:0;text-align:left;margin-left:275.95pt;margin-top:-90.8pt;width:191.15pt;height:27.7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" fillcolor="window" stroked="f" strokeweight=".5pt">
                <v:textbox>
                  <w:txbxContent>
                    <w:p w:rsidR="000D3CFF" w:rsidRPr="00280EB5" w:rsidRDefault="000D3CFF" w:rsidP="00C02ED0">
                      <w:pPr>
                        <w:jc w:val="right"/>
                        <w:rPr>
                          <w:b/>
                          <w:color w:val="984806" w:themeColor="accent6" w:themeShade="80"/>
                        </w:rPr>
                      </w:pPr>
                      <w:r w:rsidRPr="00280EB5">
                        <w:rPr>
                          <w:b/>
                          <w:color w:val="984806" w:themeColor="accent6" w:themeShade="80"/>
                        </w:rPr>
                        <w:t>Meeting Housing Needs</w:t>
                      </w:r>
                    </w:p>
                  </w:txbxContent>
                </v:textbox>
              </v:shape>
            </w:pict>
          </mc:Fallback>
        </mc:AlternateContent>
      </w:r>
      <w:r>
        <w:rPr>
          <w:rFonts w:ascii="Calibri" w:eastAsia="Calibri" w:hAnsi="Calibri" w:cs="Calibri"/>
          <w:sz w:val="22"/>
          <w:szCs w:val="22"/>
        </w:rPr>
        <w:t>Although the number of one bedroo</w:t>
      </w:r>
      <w:r w:rsidR="00A57C18">
        <w:rPr>
          <w:rFonts w:ascii="Calibri" w:eastAsia="Calibri" w:hAnsi="Calibri" w:cs="Calibri"/>
          <w:sz w:val="22"/>
          <w:szCs w:val="22"/>
        </w:rPr>
        <w:t xml:space="preserve">m dwellings has increased, </w:t>
      </w:r>
      <w:r w:rsidR="00A71C31">
        <w:rPr>
          <w:rFonts w:ascii="Calibri" w:eastAsia="Calibri" w:hAnsi="Calibri" w:cs="Calibri"/>
          <w:sz w:val="22"/>
          <w:szCs w:val="22"/>
        </w:rPr>
        <w:t xml:space="preserve">Figure </w:t>
      </w:r>
      <w:r w:rsidR="008B306D">
        <w:rPr>
          <w:rFonts w:ascii="Calibri" w:eastAsia="Calibri" w:hAnsi="Calibri" w:cs="Calibri"/>
          <w:sz w:val="22"/>
          <w:szCs w:val="22"/>
        </w:rPr>
        <w:t>14</w:t>
      </w:r>
      <w:r w:rsidR="00A57C18">
        <w:rPr>
          <w:rFonts w:ascii="Calibri" w:eastAsia="Calibri" w:hAnsi="Calibri" w:cs="Calibri"/>
          <w:sz w:val="22"/>
          <w:szCs w:val="22"/>
        </w:rPr>
        <w:t xml:space="preserve"> shows</w:t>
      </w:r>
      <w:r>
        <w:rPr>
          <w:rFonts w:ascii="Calibri" w:eastAsia="Calibri" w:hAnsi="Calibri" w:cs="Calibri"/>
          <w:sz w:val="22"/>
          <w:szCs w:val="22"/>
        </w:rPr>
        <w:t xml:space="preserve"> a much greater mix of 2, 3 and 4+ bedroom dwellings</w:t>
      </w:r>
      <w:r w:rsidR="00767383">
        <w:rPr>
          <w:rFonts w:ascii="Calibri" w:eastAsia="Calibri" w:hAnsi="Calibri" w:cs="Calibri"/>
          <w:sz w:val="22"/>
          <w:szCs w:val="22"/>
        </w:rPr>
        <w:t xml:space="preserve"> being completed in 2013/14</w:t>
      </w:r>
      <w:r>
        <w:rPr>
          <w:rFonts w:ascii="Calibri" w:eastAsia="Calibri" w:hAnsi="Calibri" w:cs="Calibri"/>
          <w:sz w:val="22"/>
          <w:szCs w:val="22"/>
        </w:rPr>
        <w:t xml:space="preserve"> than in previous</w:t>
      </w:r>
      <w:r w:rsidR="00A71C31">
        <w:rPr>
          <w:rFonts w:ascii="Calibri" w:eastAsia="Calibri" w:hAnsi="Calibri" w:cs="Calibri"/>
          <w:sz w:val="22"/>
          <w:szCs w:val="22"/>
        </w:rPr>
        <w:t xml:space="preserve"> </w:t>
      </w:r>
      <w:r w:rsidR="00A57C18">
        <w:rPr>
          <w:rFonts w:ascii="Calibri" w:eastAsia="Calibri" w:hAnsi="Calibri" w:cs="Calibri"/>
          <w:sz w:val="22"/>
          <w:szCs w:val="22"/>
        </w:rPr>
        <w:t>years.</w:t>
      </w:r>
      <w:r w:rsidR="00A71C31" w:rsidRPr="00A71C31">
        <w:rPr>
          <w:noProof/>
          <w:lang w:eastAsia="en-GB"/>
        </w:rPr>
        <w:t xml:space="preserve"> </w:t>
      </w:r>
      <w:r w:rsidR="00A71C31">
        <w:rPr>
          <w:noProof/>
          <w:lang w:eastAsia="en-GB"/>
        </w:rPr>
        <w:drawing>
          <wp:inline distT="0" distB="0" distL="0" distR="0" wp14:anchorId="040325CE" wp14:editId="07CE0710">
            <wp:extent cx="5730240" cy="3007360"/>
            <wp:effectExtent l="0" t="0" r="3810" b="2540"/>
            <wp:docPr id="178" name="Chart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1C31" w:rsidRDefault="008B306D" w:rsidP="00557661">
      <w:pPr>
        <w:autoSpaceDE w:val="0"/>
        <w:autoSpaceDN w:val="0"/>
        <w:adjustRightInd w:val="0"/>
        <w:spacing w:after="200" w:line="276" w:lineRule="auto"/>
        <w:jc w:val="center"/>
        <w:rPr>
          <w:rFonts w:ascii="Calibri" w:eastAsia="Calibri" w:hAnsi="Calibri" w:cs="Calibri"/>
          <w:b/>
          <w:color w:val="984806" w:themeColor="accent6" w:themeShade="80"/>
          <w:sz w:val="22"/>
          <w:szCs w:val="22"/>
        </w:rPr>
      </w:pPr>
      <w:r>
        <w:rPr>
          <w:rFonts w:ascii="Calibri" w:eastAsia="Calibri" w:hAnsi="Calibri" w:cs="Times New Roman"/>
          <w:b/>
          <w:sz w:val="20"/>
          <w:szCs w:val="22"/>
        </w:rPr>
        <w:t>Figure 14</w:t>
      </w:r>
      <w:r w:rsidR="00A71C31" w:rsidRPr="00A71C31">
        <w:rPr>
          <w:rFonts w:ascii="Calibri" w:eastAsia="Calibri" w:hAnsi="Calibri" w:cs="Times New Roman"/>
          <w:b/>
          <w:sz w:val="20"/>
          <w:szCs w:val="22"/>
        </w:rPr>
        <w:t>:</w:t>
      </w:r>
      <w:r w:rsidR="00A71C31" w:rsidRPr="00A71C31">
        <w:rPr>
          <w:rFonts w:ascii="Calibri" w:eastAsia="Calibri" w:hAnsi="Calibri" w:cs="Times New Roman"/>
          <w:sz w:val="20"/>
          <w:szCs w:val="22"/>
        </w:rPr>
        <w:t xml:space="preserve"> Mix of dwellings completed: Trends over time</w:t>
      </w:r>
    </w:p>
    <w:p w:rsidR="00A57C18" w:rsidRPr="00590A67" w:rsidRDefault="00A57C18" w:rsidP="00A57C18">
      <w:pPr>
        <w:autoSpaceDE w:val="0"/>
        <w:autoSpaceDN w:val="0"/>
        <w:adjustRightInd w:val="0"/>
        <w:spacing w:after="200" w:line="276" w:lineRule="auto"/>
        <w:jc w:val="both"/>
        <w:rPr>
          <w:rFonts w:ascii="Calibri" w:eastAsia="Calibri" w:hAnsi="Calibri" w:cs="Calibri"/>
          <w:b/>
          <w:color w:val="984806" w:themeColor="accent6" w:themeShade="80"/>
          <w:sz w:val="22"/>
          <w:szCs w:val="22"/>
        </w:rPr>
      </w:pPr>
      <w:r>
        <w:rPr>
          <w:rFonts w:ascii="Calibri" w:eastAsia="Calibri" w:hAnsi="Calibri" w:cs="Calibri"/>
          <w:b/>
          <w:color w:val="984806" w:themeColor="accent6" w:themeShade="80"/>
          <w:sz w:val="22"/>
          <w:szCs w:val="22"/>
        </w:rPr>
        <w:t>Compliance with the Balance of Dwellings SPD</w:t>
      </w:r>
    </w:p>
    <w:p w:rsidR="00A71C31" w:rsidRDefault="00A57C18" w:rsidP="00A71C31">
      <w:pPr>
        <w:numPr>
          <w:ilvl w:val="1"/>
          <w:numId w:val="9"/>
        </w:numPr>
        <w:autoSpaceDE w:val="0"/>
        <w:autoSpaceDN w:val="0"/>
        <w:adjustRightInd w:val="0"/>
        <w:spacing w:after="40" w:line="276" w:lineRule="auto"/>
        <w:ind w:left="357" w:hanging="357"/>
        <w:jc w:val="both"/>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B</w:t>
      </w:r>
      <w:r w:rsidR="006673D5">
        <w:rPr>
          <w:rFonts w:ascii="Calibri" w:eastAsia="Calibri" w:hAnsi="Calibri" w:cs="Calibri"/>
          <w:sz w:val="22"/>
          <w:szCs w:val="22"/>
        </w:rPr>
        <w:t>oDs</w:t>
      </w:r>
      <w:proofErr w:type="spellEnd"/>
      <w:r>
        <w:rPr>
          <w:rFonts w:ascii="Calibri" w:eastAsia="Calibri" w:hAnsi="Calibri" w:cs="Calibri"/>
          <w:sz w:val="22"/>
          <w:szCs w:val="22"/>
        </w:rPr>
        <w:t xml:space="preserve"> SPD sets out the mix of dwellings expected on sites of </w:t>
      </w:r>
      <w:r w:rsidR="00607718">
        <w:rPr>
          <w:rFonts w:ascii="Calibri" w:eastAsia="Calibri" w:hAnsi="Calibri" w:cs="Calibri"/>
          <w:sz w:val="22"/>
          <w:szCs w:val="22"/>
        </w:rPr>
        <w:t>4</w:t>
      </w:r>
      <w:r>
        <w:rPr>
          <w:rFonts w:ascii="Calibri" w:eastAsia="Calibri" w:hAnsi="Calibri" w:cs="Calibri"/>
          <w:sz w:val="22"/>
          <w:szCs w:val="22"/>
        </w:rPr>
        <w:t xml:space="preserve"> or more dwellings taking into consideration their location and local pressu</w:t>
      </w:r>
      <w:r w:rsidR="008B306D">
        <w:rPr>
          <w:rFonts w:ascii="Calibri" w:eastAsia="Calibri" w:hAnsi="Calibri" w:cs="Calibri"/>
          <w:sz w:val="22"/>
          <w:szCs w:val="22"/>
        </w:rPr>
        <w:t>res on family housing. Figure 15</w:t>
      </w:r>
      <w:r>
        <w:rPr>
          <w:rFonts w:ascii="Calibri" w:eastAsia="Calibri" w:hAnsi="Calibri" w:cs="Calibri"/>
          <w:sz w:val="22"/>
          <w:szCs w:val="22"/>
        </w:rPr>
        <w:t xml:space="preserve"> shows the proportion of completed developments that met the requirements of the </w:t>
      </w:r>
      <w:proofErr w:type="spellStart"/>
      <w:r>
        <w:rPr>
          <w:rFonts w:ascii="Calibri" w:eastAsia="Calibri" w:hAnsi="Calibri" w:cs="Calibri"/>
          <w:sz w:val="22"/>
          <w:szCs w:val="22"/>
        </w:rPr>
        <w:t>B</w:t>
      </w:r>
      <w:r w:rsidR="00767383">
        <w:rPr>
          <w:rFonts w:ascii="Calibri" w:eastAsia="Calibri" w:hAnsi="Calibri" w:cs="Calibri"/>
          <w:sz w:val="22"/>
          <w:szCs w:val="22"/>
        </w:rPr>
        <w:t>oDs</w:t>
      </w:r>
      <w:proofErr w:type="spellEnd"/>
      <w:r>
        <w:rPr>
          <w:rFonts w:ascii="Calibri" w:eastAsia="Calibri" w:hAnsi="Calibri" w:cs="Calibri"/>
          <w:sz w:val="22"/>
          <w:szCs w:val="22"/>
        </w:rPr>
        <w:t xml:space="preserve"> SPD in 2013/14.</w:t>
      </w:r>
      <w:r w:rsidR="00607718">
        <w:rPr>
          <w:rFonts w:ascii="Calibri" w:eastAsia="Calibri" w:hAnsi="Calibri" w:cs="Calibri"/>
          <w:sz w:val="22"/>
          <w:szCs w:val="22"/>
        </w:rPr>
        <w:t xml:space="preserve"> This analysis also highlights where developments were within 5% of the requirements to allow for cases where site specific factors meant that full complian</w:t>
      </w:r>
      <w:r w:rsidR="008B306D">
        <w:rPr>
          <w:rFonts w:ascii="Calibri" w:eastAsia="Calibri" w:hAnsi="Calibri" w:cs="Calibri"/>
          <w:sz w:val="22"/>
          <w:szCs w:val="22"/>
        </w:rPr>
        <w:t>ce was very difficult. Figure 15</w:t>
      </w:r>
      <w:r w:rsidR="00607718">
        <w:rPr>
          <w:rFonts w:ascii="Calibri" w:eastAsia="Calibri" w:hAnsi="Calibri" w:cs="Calibri"/>
          <w:sz w:val="22"/>
          <w:szCs w:val="22"/>
        </w:rPr>
        <w:t xml:space="preserve"> excludes sites of 1-3 dwellings as there are no specific mix of dwelling targets for these sites in Oxford’s Local Development Plan apart from an overarching policy of ‘no net loss in family dwellings’ (Policy HP1 of the Sites and Housing Plan). </w:t>
      </w:r>
    </w:p>
    <w:p w:rsidR="00557661" w:rsidRPr="00557661" w:rsidRDefault="00557661" w:rsidP="00557661">
      <w:pPr>
        <w:autoSpaceDE w:val="0"/>
        <w:autoSpaceDN w:val="0"/>
        <w:adjustRightInd w:val="0"/>
        <w:spacing w:after="40" w:line="276" w:lineRule="auto"/>
        <w:ind w:left="357"/>
        <w:jc w:val="both"/>
        <w:rPr>
          <w:rFonts w:ascii="Calibri" w:eastAsia="Calibri" w:hAnsi="Calibri" w:cs="Calibri"/>
          <w:sz w:val="22"/>
          <w:szCs w:val="22"/>
        </w:rPr>
      </w:pP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660"/>
        <w:gridCol w:w="1645"/>
        <w:gridCol w:w="1646"/>
        <w:gridCol w:w="1645"/>
        <w:gridCol w:w="1646"/>
      </w:tblGrid>
      <w:tr w:rsidR="007E7050" w:rsidRPr="00E7018D" w:rsidTr="00FB6EBA">
        <w:tc>
          <w:tcPr>
            <w:tcW w:w="2660" w:type="dxa"/>
            <w:tcBorders>
              <w:top w:val="nil"/>
              <w:left w:val="nil"/>
            </w:tcBorders>
            <w:shd w:val="clear" w:color="auto" w:fill="auto"/>
          </w:tcPr>
          <w:p w:rsidR="007E7050" w:rsidRPr="00E7018D" w:rsidRDefault="007E7050" w:rsidP="00C852C0">
            <w:pPr>
              <w:rPr>
                <w:rFonts w:asciiTheme="minorHAnsi" w:hAnsiTheme="minorHAnsi" w:cstheme="minorHAnsi"/>
                <w:sz w:val="20"/>
              </w:rPr>
            </w:pPr>
          </w:p>
        </w:tc>
        <w:tc>
          <w:tcPr>
            <w:tcW w:w="1645" w:type="dxa"/>
            <w:shd w:val="clear" w:color="auto" w:fill="FBD4B4" w:themeFill="accent6" w:themeFillTint="66"/>
          </w:tcPr>
          <w:p w:rsidR="007E7050" w:rsidRPr="00E7018D" w:rsidRDefault="007E7050" w:rsidP="00C852C0">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Number of completed sites assessed</w:t>
            </w:r>
          </w:p>
        </w:tc>
        <w:tc>
          <w:tcPr>
            <w:tcW w:w="1646" w:type="dxa"/>
            <w:shd w:val="clear" w:color="auto" w:fill="FBD4B4" w:themeFill="accent6" w:themeFillTint="66"/>
          </w:tcPr>
          <w:p w:rsidR="007E7050" w:rsidRPr="00E7018D" w:rsidRDefault="007E7050" w:rsidP="00C852C0">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Proportion in full compliance</w:t>
            </w:r>
          </w:p>
        </w:tc>
        <w:tc>
          <w:tcPr>
            <w:tcW w:w="1645" w:type="dxa"/>
            <w:shd w:val="clear" w:color="auto" w:fill="FBD4B4" w:themeFill="accent6" w:themeFillTint="66"/>
          </w:tcPr>
          <w:p w:rsidR="007E7050" w:rsidRPr="00E7018D" w:rsidRDefault="007E7050" w:rsidP="00C852C0">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Proportion within 5% compliance</w:t>
            </w:r>
          </w:p>
        </w:tc>
        <w:tc>
          <w:tcPr>
            <w:tcW w:w="1646" w:type="dxa"/>
            <w:shd w:val="clear" w:color="auto" w:fill="FBD4B4" w:themeFill="accent6" w:themeFillTint="66"/>
          </w:tcPr>
          <w:p w:rsidR="007E7050" w:rsidRPr="00E7018D" w:rsidRDefault="007E7050" w:rsidP="00C852C0">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 xml:space="preserve">Proportion not in compliance </w:t>
            </w:r>
          </w:p>
        </w:tc>
      </w:tr>
      <w:tr w:rsidR="007E7050" w:rsidRPr="00E7018D" w:rsidTr="00FB6EBA">
        <w:tc>
          <w:tcPr>
            <w:tcW w:w="2660" w:type="dxa"/>
            <w:shd w:val="clear" w:color="auto" w:fill="FBD4B4" w:themeFill="accent6" w:themeFillTint="66"/>
          </w:tcPr>
          <w:p w:rsidR="007E7050" w:rsidRPr="00E7018D" w:rsidRDefault="007E7050" w:rsidP="00C852C0">
            <w:pP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Strategic Site</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0</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r>
      <w:tr w:rsidR="007E7050" w:rsidRPr="00E7018D" w:rsidTr="00FB6EBA">
        <w:tc>
          <w:tcPr>
            <w:tcW w:w="2660" w:type="dxa"/>
            <w:shd w:val="clear" w:color="auto" w:fill="FBD4B4" w:themeFill="accent6" w:themeFillTint="66"/>
          </w:tcPr>
          <w:p w:rsidR="007E7050" w:rsidRPr="00E7018D" w:rsidRDefault="007E7050" w:rsidP="00C852C0">
            <w:pP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City Centre</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0</w:t>
            </w:r>
          </w:p>
        </w:tc>
        <w:tc>
          <w:tcPr>
            <w:tcW w:w="1646" w:type="dxa"/>
            <w:shd w:val="clear" w:color="auto" w:fill="auto"/>
          </w:tcPr>
          <w:p w:rsidR="007E7050" w:rsidRPr="007E7050" w:rsidRDefault="00EB3F78"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5" w:type="dxa"/>
            <w:shd w:val="clear" w:color="auto" w:fill="auto"/>
          </w:tcPr>
          <w:p w:rsidR="007E7050" w:rsidRPr="007E7050" w:rsidRDefault="00EB3F78"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r>
      <w:tr w:rsidR="007E7050" w:rsidRPr="00E7018D" w:rsidTr="00FB6EBA">
        <w:tc>
          <w:tcPr>
            <w:tcW w:w="2660" w:type="dxa"/>
            <w:shd w:val="clear" w:color="auto" w:fill="FBD4B4" w:themeFill="accent6" w:themeFillTint="66"/>
          </w:tcPr>
          <w:p w:rsidR="007E7050" w:rsidRPr="00E7018D" w:rsidRDefault="007E7050" w:rsidP="00C852C0">
            <w:pP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District Centre</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0</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r>
      <w:tr w:rsidR="007E7050" w:rsidRPr="00E7018D" w:rsidTr="00FB6EBA">
        <w:trPr>
          <w:trHeight w:val="70"/>
        </w:trPr>
        <w:tc>
          <w:tcPr>
            <w:tcW w:w="2660" w:type="dxa"/>
            <w:shd w:val="clear" w:color="auto" w:fill="FBD4B4" w:themeFill="accent6" w:themeFillTint="66"/>
          </w:tcPr>
          <w:p w:rsidR="007E7050" w:rsidRPr="00607718" w:rsidRDefault="007E7050" w:rsidP="00C852C0">
            <w:pPr>
              <w:rPr>
                <w:rFonts w:asciiTheme="minorHAnsi" w:hAnsiTheme="minorHAnsi" w:cstheme="minorHAnsi"/>
                <w:color w:val="404040" w:themeColor="text1" w:themeTint="BF"/>
                <w:sz w:val="20"/>
              </w:rPr>
            </w:pPr>
            <w:r>
              <w:rPr>
                <w:rFonts w:asciiTheme="minorHAnsi" w:hAnsiTheme="minorHAnsi" w:cstheme="minorHAnsi"/>
                <w:b/>
                <w:color w:val="404040" w:themeColor="text1" w:themeTint="BF"/>
                <w:sz w:val="20"/>
              </w:rPr>
              <w:t xml:space="preserve">Red Area </w:t>
            </w:r>
            <w:r>
              <w:rPr>
                <w:rFonts w:asciiTheme="minorHAnsi" w:hAnsiTheme="minorHAnsi" w:cstheme="minorHAnsi"/>
                <w:color w:val="404040" w:themeColor="text1" w:themeTint="BF"/>
                <w:sz w:val="20"/>
              </w:rPr>
              <w:t>(Most significant pressure for family dwellings)</w:t>
            </w:r>
          </w:p>
        </w:tc>
        <w:tc>
          <w:tcPr>
            <w:tcW w:w="1645" w:type="dxa"/>
            <w:shd w:val="clear" w:color="auto" w:fill="auto"/>
          </w:tcPr>
          <w:p w:rsidR="007E7050" w:rsidRPr="007E7050" w:rsidRDefault="007E7050" w:rsidP="00C852C0">
            <w:pPr>
              <w:jc w:val="center"/>
              <w:rPr>
                <w:rFonts w:asciiTheme="minorHAnsi" w:hAnsiTheme="minorHAnsi" w:cstheme="minorHAnsi"/>
                <w:color w:val="404040" w:themeColor="text1" w:themeTint="BF"/>
                <w:sz w:val="20"/>
              </w:rPr>
            </w:pPr>
            <w:r w:rsidRPr="007E7050">
              <w:rPr>
                <w:rFonts w:asciiTheme="minorHAnsi" w:hAnsiTheme="minorHAnsi" w:cstheme="minorHAnsi"/>
                <w:color w:val="404040" w:themeColor="text1" w:themeTint="BF"/>
                <w:sz w:val="20"/>
              </w:rPr>
              <w:t>1</w:t>
            </w:r>
          </w:p>
        </w:tc>
        <w:tc>
          <w:tcPr>
            <w:tcW w:w="1646" w:type="dxa"/>
            <w:shd w:val="clear" w:color="auto" w:fill="auto"/>
          </w:tcPr>
          <w:p w:rsidR="007E7050" w:rsidRPr="007E7050" w:rsidRDefault="007E7050" w:rsidP="00C852C0">
            <w:pPr>
              <w:jc w:val="center"/>
              <w:rPr>
                <w:rFonts w:asciiTheme="minorHAnsi" w:hAnsiTheme="minorHAnsi" w:cstheme="minorHAnsi"/>
                <w:color w:val="404040" w:themeColor="text1" w:themeTint="BF"/>
                <w:sz w:val="20"/>
              </w:rPr>
            </w:pPr>
            <w:r w:rsidRPr="007E7050">
              <w:rPr>
                <w:rFonts w:asciiTheme="minorHAnsi" w:hAnsiTheme="minorHAnsi" w:cstheme="minorHAnsi"/>
                <w:color w:val="404040" w:themeColor="text1" w:themeTint="BF"/>
                <w:sz w:val="20"/>
              </w:rPr>
              <w:t>0</w:t>
            </w:r>
            <w:r w:rsidR="00EB3F78">
              <w:rPr>
                <w:rFonts w:asciiTheme="minorHAnsi" w:hAnsiTheme="minorHAnsi" w:cstheme="minorHAnsi"/>
                <w:color w:val="404040" w:themeColor="text1" w:themeTint="BF"/>
                <w:sz w:val="20"/>
              </w:rPr>
              <w:t>%</w:t>
            </w:r>
          </w:p>
        </w:tc>
        <w:tc>
          <w:tcPr>
            <w:tcW w:w="1645" w:type="dxa"/>
            <w:shd w:val="clear" w:color="auto" w:fill="auto"/>
          </w:tcPr>
          <w:p w:rsidR="007E7050" w:rsidRPr="007E7050" w:rsidRDefault="007E7050" w:rsidP="00C852C0">
            <w:pPr>
              <w:jc w:val="center"/>
              <w:rPr>
                <w:rFonts w:asciiTheme="minorHAnsi" w:hAnsiTheme="minorHAnsi" w:cstheme="minorHAnsi"/>
                <w:color w:val="404040" w:themeColor="text1" w:themeTint="BF"/>
                <w:sz w:val="20"/>
              </w:rPr>
            </w:pPr>
            <w:r w:rsidRPr="007E7050">
              <w:rPr>
                <w:rFonts w:asciiTheme="minorHAnsi" w:hAnsiTheme="minorHAnsi" w:cstheme="minorHAnsi"/>
                <w:color w:val="404040" w:themeColor="text1" w:themeTint="BF"/>
                <w:sz w:val="20"/>
              </w:rPr>
              <w:t>1</w:t>
            </w:r>
            <w:r w:rsidR="00EB3F78">
              <w:rPr>
                <w:rFonts w:asciiTheme="minorHAnsi" w:hAnsiTheme="minorHAnsi" w:cstheme="minorHAnsi"/>
                <w:color w:val="404040" w:themeColor="text1" w:themeTint="BF"/>
                <w:sz w:val="20"/>
              </w:rPr>
              <w:t>00%</w:t>
            </w:r>
          </w:p>
        </w:tc>
        <w:tc>
          <w:tcPr>
            <w:tcW w:w="1646" w:type="dxa"/>
            <w:shd w:val="clear" w:color="auto" w:fill="auto"/>
          </w:tcPr>
          <w:p w:rsidR="007E7050" w:rsidRPr="007E7050" w:rsidRDefault="007E7050" w:rsidP="00C852C0">
            <w:pPr>
              <w:tabs>
                <w:tab w:val="left" w:pos="270"/>
                <w:tab w:val="center" w:pos="538"/>
              </w:tabs>
              <w:jc w:val="center"/>
              <w:rPr>
                <w:rFonts w:asciiTheme="minorHAnsi" w:hAnsiTheme="minorHAnsi" w:cstheme="minorHAnsi"/>
                <w:color w:val="404040" w:themeColor="text1" w:themeTint="BF"/>
                <w:sz w:val="20"/>
              </w:rPr>
            </w:pPr>
            <w:r w:rsidRPr="007E7050">
              <w:rPr>
                <w:rFonts w:asciiTheme="minorHAnsi" w:hAnsiTheme="minorHAnsi" w:cstheme="minorHAnsi"/>
                <w:color w:val="404040" w:themeColor="text1" w:themeTint="BF"/>
                <w:sz w:val="20"/>
              </w:rPr>
              <w:t>0</w:t>
            </w:r>
            <w:r w:rsidR="00EB3F78">
              <w:rPr>
                <w:rFonts w:asciiTheme="minorHAnsi" w:hAnsiTheme="minorHAnsi" w:cstheme="minorHAnsi"/>
                <w:color w:val="404040" w:themeColor="text1" w:themeTint="BF"/>
                <w:sz w:val="20"/>
              </w:rPr>
              <w:t>%</w:t>
            </w:r>
          </w:p>
        </w:tc>
      </w:tr>
      <w:tr w:rsidR="007E7050" w:rsidRPr="00E7018D" w:rsidTr="00FB6EBA">
        <w:tc>
          <w:tcPr>
            <w:tcW w:w="2660" w:type="dxa"/>
            <w:shd w:val="clear" w:color="auto" w:fill="FBD4B4" w:themeFill="accent6" w:themeFillTint="66"/>
          </w:tcPr>
          <w:p w:rsidR="007E7050" w:rsidRPr="00E7018D" w:rsidRDefault="007E7050" w:rsidP="00607718">
            <w:pP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 xml:space="preserve">Amber Area </w:t>
            </w:r>
            <w:r>
              <w:rPr>
                <w:rFonts w:asciiTheme="minorHAnsi" w:hAnsiTheme="minorHAnsi" w:cstheme="minorHAnsi"/>
                <w:color w:val="404040" w:themeColor="text1" w:themeTint="BF"/>
                <w:sz w:val="20"/>
              </w:rPr>
              <w:t>(Considerable pressure for family dwellings)</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4</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0</w:t>
            </w:r>
            <w:r w:rsidR="00EB3F78">
              <w:rPr>
                <w:rFonts w:asciiTheme="minorHAnsi" w:hAnsiTheme="minorHAnsi" w:cstheme="minorHAnsi"/>
                <w:color w:val="404040" w:themeColor="text1" w:themeTint="BF"/>
                <w:sz w:val="20"/>
              </w:rPr>
              <w:t>%</w:t>
            </w:r>
          </w:p>
        </w:tc>
        <w:tc>
          <w:tcPr>
            <w:tcW w:w="1645" w:type="dxa"/>
            <w:shd w:val="clear" w:color="auto" w:fill="auto"/>
          </w:tcPr>
          <w:p w:rsidR="007E7050" w:rsidRPr="007E7050" w:rsidRDefault="00EB3F78"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25%</w:t>
            </w:r>
          </w:p>
        </w:tc>
        <w:tc>
          <w:tcPr>
            <w:tcW w:w="1646" w:type="dxa"/>
            <w:shd w:val="clear" w:color="auto" w:fill="auto"/>
          </w:tcPr>
          <w:p w:rsidR="007E7050" w:rsidRPr="007E7050" w:rsidRDefault="00EB3F78" w:rsidP="007E7050">
            <w:pPr>
              <w:tabs>
                <w:tab w:val="left" w:pos="270"/>
                <w:tab w:val="center" w:pos="538"/>
              </w:tabs>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75%</w:t>
            </w:r>
          </w:p>
        </w:tc>
      </w:tr>
      <w:tr w:rsidR="007E7050" w:rsidRPr="00E7018D" w:rsidTr="00FB6EBA">
        <w:tc>
          <w:tcPr>
            <w:tcW w:w="2660" w:type="dxa"/>
            <w:shd w:val="clear" w:color="auto" w:fill="FBD4B4" w:themeFill="accent6" w:themeFillTint="66"/>
          </w:tcPr>
          <w:p w:rsidR="007E7050" w:rsidRDefault="007E7050" w:rsidP="007E7050">
            <w:pP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 xml:space="preserve">Green Area </w:t>
            </w:r>
            <w:r>
              <w:rPr>
                <w:rFonts w:asciiTheme="minorHAnsi" w:hAnsiTheme="minorHAnsi" w:cstheme="minorHAnsi"/>
                <w:color w:val="404040" w:themeColor="text1" w:themeTint="BF"/>
                <w:sz w:val="20"/>
              </w:rPr>
              <w:t>(Lower pressure for  family dwellings)</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0</w:t>
            </w:r>
          </w:p>
        </w:tc>
        <w:tc>
          <w:tcPr>
            <w:tcW w:w="1646"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5" w:type="dxa"/>
            <w:shd w:val="clear" w:color="auto" w:fill="auto"/>
          </w:tcPr>
          <w:p w:rsidR="007E7050" w:rsidRPr="007E7050" w:rsidRDefault="007E7050" w:rsidP="007E705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c>
          <w:tcPr>
            <w:tcW w:w="1646" w:type="dxa"/>
            <w:shd w:val="clear" w:color="auto" w:fill="auto"/>
          </w:tcPr>
          <w:p w:rsidR="007E7050" w:rsidRPr="007E7050" w:rsidRDefault="007E7050" w:rsidP="007E7050">
            <w:pPr>
              <w:tabs>
                <w:tab w:val="left" w:pos="270"/>
                <w:tab w:val="center" w:pos="538"/>
              </w:tabs>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w:t>
            </w:r>
          </w:p>
        </w:tc>
      </w:tr>
    </w:tbl>
    <w:p w:rsidR="007E7050" w:rsidRPr="007E7050" w:rsidRDefault="007E7050" w:rsidP="007E7050">
      <w:pPr>
        <w:jc w:val="center"/>
        <w:rPr>
          <w:rFonts w:ascii="Calibri" w:eastAsia="Calibri" w:hAnsi="Calibri" w:cs="Times New Roman"/>
          <w:b/>
          <w:sz w:val="8"/>
          <w:szCs w:val="8"/>
        </w:rPr>
      </w:pPr>
    </w:p>
    <w:p w:rsidR="00A71C31" w:rsidRPr="00557661" w:rsidRDefault="008B306D" w:rsidP="00557661">
      <w:pPr>
        <w:jc w:val="center"/>
        <w:rPr>
          <w:rFonts w:ascii="Calibri" w:eastAsia="Calibri" w:hAnsi="Calibri" w:cs="Times New Roman"/>
          <w:b/>
          <w:sz w:val="20"/>
        </w:rPr>
      </w:pPr>
      <w:r>
        <w:rPr>
          <w:rFonts w:ascii="Calibri" w:eastAsia="Calibri" w:hAnsi="Calibri" w:cs="Times New Roman"/>
          <w:b/>
          <w:sz w:val="20"/>
          <w:szCs w:val="22"/>
        </w:rPr>
        <w:t>Figure 15</w:t>
      </w:r>
      <w:r w:rsidR="007E7050">
        <w:rPr>
          <w:rFonts w:ascii="Calibri" w:eastAsia="Calibri" w:hAnsi="Calibri" w:cs="Times New Roman"/>
          <w:b/>
          <w:sz w:val="20"/>
          <w:szCs w:val="22"/>
        </w:rPr>
        <w:t>:</w:t>
      </w:r>
      <w:r w:rsidR="007E7050">
        <w:rPr>
          <w:rFonts w:ascii="Calibri" w:eastAsia="Calibri" w:hAnsi="Calibri" w:cs="Times New Roman"/>
          <w:sz w:val="20"/>
          <w:szCs w:val="22"/>
        </w:rPr>
        <w:t xml:space="preserve"> </w:t>
      </w:r>
      <w:r w:rsidR="00EB3F78">
        <w:rPr>
          <w:rFonts w:ascii="Calibri" w:eastAsia="Calibri" w:hAnsi="Calibri" w:cs="Times New Roman"/>
          <w:sz w:val="20"/>
          <w:szCs w:val="22"/>
        </w:rPr>
        <w:t>Proportion of completed sites that comply with the requirements of the Balance of Dwellings SPD</w:t>
      </w:r>
    </w:p>
    <w:p w:rsidR="00236364" w:rsidRDefault="00557661"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C02ED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66112" behindDoc="0" locked="0" layoutInCell="1" allowOverlap="1" wp14:anchorId="05F19F46" wp14:editId="2177E539">
                <wp:simplePos x="0" y="0"/>
                <wp:positionH relativeFrom="column">
                  <wp:posOffset>3485515</wp:posOffset>
                </wp:positionH>
                <wp:positionV relativeFrom="paragraph">
                  <wp:posOffset>-528320</wp:posOffset>
                </wp:positionV>
                <wp:extent cx="2427605" cy="352425"/>
                <wp:effectExtent l="0" t="0" r="0" b="9525"/>
                <wp:wrapNone/>
                <wp:docPr id="165" name="Text Box 165"/>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A6897">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4" type="#_x0000_t202" style="position:absolute;left:0;text-align:left;margin-left:274.45pt;margin-top:-41.6pt;width:191.15pt;height:27.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" fillcolor="window" stroked="f" strokeweight=".5pt">
                <v:textbox>
                  <w:txbxContent>
                    <w:p w:rsidR="000D3CFF" w:rsidRPr="00280EB5" w:rsidRDefault="000D3CFF" w:rsidP="002A6897">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A71C31">
        <w:rPr>
          <w:rFonts w:ascii="Calibri" w:eastAsia="Calibri" w:hAnsi="Calibri" w:cs="Calibri"/>
          <w:sz w:val="22"/>
          <w:szCs w:val="22"/>
        </w:rPr>
        <w:t>Figure 14</w:t>
      </w:r>
      <w:r w:rsidR="00236364">
        <w:rPr>
          <w:rFonts w:ascii="Calibri" w:eastAsia="Calibri" w:hAnsi="Calibri" w:cs="Calibri"/>
          <w:sz w:val="22"/>
          <w:szCs w:val="22"/>
        </w:rPr>
        <w:t xml:space="preserve"> shows that five residential developments completed in 2013/14 met the threshold for applying the </w:t>
      </w:r>
      <w:proofErr w:type="spellStart"/>
      <w:r w:rsidR="00236364">
        <w:rPr>
          <w:rFonts w:ascii="Calibri" w:eastAsia="Calibri" w:hAnsi="Calibri" w:cs="Calibri"/>
          <w:sz w:val="22"/>
          <w:szCs w:val="22"/>
        </w:rPr>
        <w:t>B</w:t>
      </w:r>
      <w:r w:rsidR="006673D5">
        <w:rPr>
          <w:rFonts w:ascii="Calibri" w:eastAsia="Calibri" w:hAnsi="Calibri" w:cs="Calibri"/>
          <w:sz w:val="22"/>
          <w:szCs w:val="22"/>
        </w:rPr>
        <w:t>oDs</w:t>
      </w:r>
      <w:proofErr w:type="spellEnd"/>
      <w:r w:rsidR="00236364">
        <w:rPr>
          <w:rFonts w:ascii="Calibri" w:eastAsia="Calibri" w:hAnsi="Calibri" w:cs="Calibri"/>
          <w:sz w:val="22"/>
          <w:szCs w:val="22"/>
        </w:rPr>
        <w:t xml:space="preserve"> SPD due to their size and/or location. Three of these developments in ‘amber’ parts of the </w:t>
      </w:r>
      <w:r w:rsidR="003161C9">
        <w:rPr>
          <w:rFonts w:ascii="Calibri" w:eastAsia="Calibri" w:hAnsi="Calibri" w:cs="Calibri"/>
          <w:sz w:val="22"/>
          <w:szCs w:val="22"/>
        </w:rPr>
        <w:t>city</w:t>
      </w:r>
      <w:r w:rsidR="00236364">
        <w:rPr>
          <w:rFonts w:ascii="Calibri" w:eastAsia="Calibri" w:hAnsi="Calibri" w:cs="Calibri"/>
          <w:sz w:val="22"/>
          <w:szCs w:val="22"/>
        </w:rPr>
        <w:t xml:space="preserve"> were not in compliance with the SPD:</w:t>
      </w:r>
    </w:p>
    <w:p w:rsidR="00A71C31" w:rsidRPr="00557661" w:rsidRDefault="00236364" w:rsidP="00557661">
      <w:pPr>
        <w:autoSpaceDE w:val="0"/>
        <w:autoSpaceDN w:val="0"/>
        <w:adjustRightInd w:val="0"/>
        <w:spacing w:line="276" w:lineRule="auto"/>
        <w:ind w:left="357"/>
        <w:jc w:val="both"/>
        <w:rPr>
          <w:rFonts w:ascii="Calibri" w:eastAsia="Calibri" w:hAnsi="Calibri" w:cs="Calibri"/>
          <w:i/>
          <w:sz w:val="22"/>
          <w:szCs w:val="22"/>
        </w:rPr>
      </w:pPr>
      <w:proofErr w:type="gramStart"/>
      <w:r w:rsidRPr="00557661">
        <w:rPr>
          <w:rFonts w:ascii="Calibri" w:eastAsia="Calibri" w:hAnsi="Calibri" w:cs="Calibri"/>
          <w:i/>
          <w:sz w:val="22"/>
          <w:szCs w:val="22"/>
        </w:rPr>
        <w:t xml:space="preserve">Application Reference </w:t>
      </w:r>
      <w:r w:rsidR="00EB3F78" w:rsidRPr="00557661">
        <w:rPr>
          <w:rFonts w:ascii="Calibri" w:eastAsia="Calibri" w:hAnsi="Calibri" w:cs="Calibri"/>
          <w:i/>
          <w:sz w:val="22"/>
          <w:szCs w:val="22"/>
        </w:rPr>
        <w:t>10/02135/FUL</w:t>
      </w:r>
      <w:r w:rsidR="00362CB0" w:rsidRPr="00557661">
        <w:rPr>
          <w:rFonts w:ascii="Calibri" w:eastAsia="Calibri" w:hAnsi="Calibri" w:cs="Calibri"/>
          <w:i/>
          <w:sz w:val="22"/>
          <w:szCs w:val="22"/>
        </w:rPr>
        <w:t xml:space="preserve"> - Demolition of end of terrace house.</w:t>
      </w:r>
      <w:proofErr w:type="gramEnd"/>
      <w:r w:rsidR="00362CB0" w:rsidRPr="00557661">
        <w:rPr>
          <w:rFonts w:ascii="Calibri" w:eastAsia="Calibri" w:hAnsi="Calibri" w:cs="Calibri"/>
          <w:i/>
          <w:sz w:val="22"/>
          <w:szCs w:val="22"/>
        </w:rPr>
        <w:t xml:space="preserve"> </w:t>
      </w:r>
      <w:proofErr w:type="gramStart"/>
      <w:r w:rsidR="00362CB0" w:rsidRPr="00557661">
        <w:rPr>
          <w:rFonts w:ascii="Calibri" w:eastAsia="Calibri" w:hAnsi="Calibri" w:cs="Calibri"/>
          <w:i/>
          <w:sz w:val="22"/>
          <w:szCs w:val="22"/>
        </w:rPr>
        <w:t>Erection of 4 x 1 bedroom flats.</w:t>
      </w:r>
      <w:proofErr w:type="gramEnd"/>
      <w:r w:rsidR="00362CB0" w:rsidRPr="00557661">
        <w:rPr>
          <w:rFonts w:ascii="Calibri" w:eastAsia="Calibri" w:hAnsi="Calibri" w:cs="Calibri"/>
          <w:i/>
          <w:sz w:val="22"/>
          <w:szCs w:val="22"/>
        </w:rPr>
        <w:t xml:space="preserve"> </w:t>
      </w:r>
      <w:proofErr w:type="gramStart"/>
      <w:r w:rsidR="00362CB0" w:rsidRPr="00557661">
        <w:rPr>
          <w:rFonts w:ascii="Calibri" w:eastAsia="Calibri" w:hAnsi="Calibri" w:cs="Calibri"/>
          <w:i/>
          <w:sz w:val="22"/>
          <w:szCs w:val="22"/>
        </w:rPr>
        <w:t>Amendments to 09/02720/FUL.</w:t>
      </w:r>
      <w:proofErr w:type="gramEnd"/>
    </w:p>
    <w:p w:rsidR="00362CB0" w:rsidRPr="00557661" w:rsidRDefault="00362CB0" w:rsidP="00236364">
      <w:pPr>
        <w:autoSpaceDE w:val="0"/>
        <w:autoSpaceDN w:val="0"/>
        <w:adjustRightInd w:val="0"/>
        <w:spacing w:line="276" w:lineRule="auto"/>
        <w:ind w:left="357"/>
        <w:jc w:val="both"/>
        <w:rPr>
          <w:rFonts w:ascii="Calibri" w:eastAsia="Calibri" w:hAnsi="Calibri" w:cs="Calibri"/>
          <w:sz w:val="22"/>
          <w:szCs w:val="22"/>
        </w:rPr>
      </w:pPr>
      <w:r w:rsidRPr="00557661">
        <w:rPr>
          <w:rFonts w:ascii="Calibri" w:eastAsia="Calibri" w:hAnsi="Calibri" w:cs="Calibri"/>
          <w:sz w:val="22"/>
          <w:szCs w:val="22"/>
        </w:rPr>
        <w:t xml:space="preserve">The principle of 4x1 bedroom flats on this site had already been established by the granting of planning permission in </w:t>
      </w:r>
      <w:r w:rsidR="006673D5" w:rsidRPr="00557661">
        <w:rPr>
          <w:rFonts w:ascii="Calibri" w:eastAsia="Calibri" w:hAnsi="Calibri" w:cs="Calibri"/>
          <w:sz w:val="22"/>
          <w:szCs w:val="22"/>
        </w:rPr>
        <w:t>2</w:t>
      </w:r>
      <w:r w:rsidRPr="00557661">
        <w:rPr>
          <w:rFonts w:ascii="Calibri" w:eastAsia="Calibri" w:hAnsi="Calibri" w:cs="Calibri"/>
          <w:sz w:val="22"/>
          <w:szCs w:val="22"/>
        </w:rPr>
        <w:t>007</w:t>
      </w:r>
      <w:r w:rsidR="006673D5" w:rsidRPr="00557661">
        <w:rPr>
          <w:rFonts w:ascii="Calibri" w:eastAsia="Calibri" w:hAnsi="Calibri" w:cs="Calibri"/>
          <w:sz w:val="22"/>
          <w:szCs w:val="22"/>
        </w:rPr>
        <w:t xml:space="preserve">, prior to the adoption of the </w:t>
      </w:r>
      <w:proofErr w:type="spellStart"/>
      <w:r w:rsidR="006673D5" w:rsidRPr="00557661">
        <w:rPr>
          <w:rFonts w:ascii="Calibri" w:eastAsia="Calibri" w:hAnsi="Calibri" w:cs="Calibri"/>
          <w:sz w:val="22"/>
          <w:szCs w:val="22"/>
        </w:rPr>
        <w:t>BoDs</w:t>
      </w:r>
      <w:proofErr w:type="spellEnd"/>
      <w:r w:rsidR="006673D5" w:rsidRPr="00557661">
        <w:rPr>
          <w:rFonts w:ascii="Calibri" w:eastAsia="Calibri" w:hAnsi="Calibri" w:cs="Calibri"/>
          <w:sz w:val="22"/>
          <w:szCs w:val="22"/>
        </w:rPr>
        <w:t xml:space="preserve"> SPD. This permission was subsequently renewed in early 2010 and could still be implemented at the time of this application.</w:t>
      </w:r>
    </w:p>
    <w:p w:rsidR="006673D5" w:rsidRPr="00557661" w:rsidRDefault="006673D5" w:rsidP="00236364">
      <w:pPr>
        <w:autoSpaceDE w:val="0"/>
        <w:autoSpaceDN w:val="0"/>
        <w:adjustRightInd w:val="0"/>
        <w:spacing w:line="276" w:lineRule="auto"/>
        <w:ind w:left="357"/>
        <w:jc w:val="both"/>
        <w:rPr>
          <w:rFonts w:ascii="Calibri" w:eastAsia="Calibri" w:hAnsi="Calibri" w:cs="Calibri"/>
          <w:i/>
          <w:sz w:val="22"/>
          <w:szCs w:val="22"/>
        </w:rPr>
      </w:pPr>
    </w:p>
    <w:p w:rsidR="00A71C31" w:rsidRPr="00557661" w:rsidRDefault="006673D5" w:rsidP="00557661">
      <w:pPr>
        <w:autoSpaceDE w:val="0"/>
        <w:autoSpaceDN w:val="0"/>
        <w:adjustRightInd w:val="0"/>
        <w:spacing w:line="276" w:lineRule="auto"/>
        <w:ind w:left="357"/>
        <w:jc w:val="both"/>
        <w:rPr>
          <w:rFonts w:ascii="Calibri" w:eastAsia="Calibri" w:hAnsi="Calibri" w:cs="Calibri"/>
          <w:i/>
          <w:sz w:val="22"/>
          <w:szCs w:val="22"/>
        </w:rPr>
      </w:pPr>
      <w:r w:rsidRPr="00557661">
        <w:rPr>
          <w:rFonts w:ascii="Calibri" w:eastAsia="Calibri" w:hAnsi="Calibri" w:cs="Calibri"/>
          <w:i/>
          <w:sz w:val="22"/>
          <w:szCs w:val="22"/>
        </w:rPr>
        <w:t xml:space="preserve">Planning Application 08/01961/FUL - Demolition of existing property to create 4x3 bed houses, 3x1 bed apartments and </w:t>
      </w:r>
      <w:proofErr w:type="gramStart"/>
      <w:r w:rsidRPr="00557661">
        <w:rPr>
          <w:rFonts w:ascii="Calibri" w:eastAsia="Calibri" w:hAnsi="Calibri" w:cs="Calibri"/>
          <w:i/>
          <w:sz w:val="22"/>
          <w:szCs w:val="22"/>
        </w:rPr>
        <w:t>1x2 bed duplex apartment</w:t>
      </w:r>
      <w:proofErr w:type="gramEnd"/>
      <w:r w:rsidRPr="00557661">
        <w:rPr>
          <w:rFonts w:ascii="Calibri" w:eastAsia="Calibri" w:hAnsi="Calibri" w:cs="Calibri"/>
          <w:i/>
          <w:sz w:val="22"/>
          <w:szCs w:val="22"/>
        </w:rPr>
        <w:t>.</w:t>
      </w:r>
    </w:p>
    <w:p w:rsidR="006673D5" w:rsidRPr="00557661" w:rsidRDefault="006673D5" w:rsidP="00236364">
      <w:pPr>
        <w:autoSpaceDE w:val="0"/>
        <w:autoSpaceDN w:val="0"/>
        <w:adjustRightInd w:val="0"/>
        <w:spacing w:line="276" w:lineRule="auto"/>
        <w:ind w:left="357"/>
        <w:jc w:val="both"/>
        <w:rPr>
          <w:rFonts w:ascii="Calibri" w:eastAsia="Calibri" w:hAnsi="Calibri" w:cs="Calibri"/>
          <w:sz w:val="22"/>
          <w:szCs w:val="22"/>
        </w:rPr>
      </w:pPr>
      <w:r w:rsidRPr="00557661">
        <w:rPr>
          <w:rFonts w:ascii="Calibri" w:eastAsia="Calibri" w:hAnsi="Calibri" w:cs="Calibri"/>
          <w:sz w:val="22"/>
          <w:szCs w:val="22"/>
        </w:rPr>
        <w:t xml:space="preserve">Although this development is shown as not being in compliance with the </w:t>
      </w:r>
      <w:proofErr w:type="spellStart"/>
      <w:r w:rsidRPr="00557661">
        <w:rPr>
          <w:rFonts w:ascii="Calibri" w:eastAsia="Calibri" w:hAnsi="Calibri" w:cs="Calibri"/>
          <w:sz w:val="22"/>
          <w:szCs w:val="22"/>
        </w:rPr>
        <w:t>BoDs</w:t>
      </w:r>
      <w:proofErr w:type="spellEnd"/>
      <w:r w:rsidRPr="00557661">
        <w:rPr>
          <w:rFonts w:ascii="Calibri" w:eastAsia="Calibri" w:hAnsi="Calibri" w:cs="Calibri"/>
          <w:sz w:val="22"/>
          <w:szCs w:val="22"/>
        </w:rPr>
        <w:t xml:space="preserve"> SPD, this is only by a very small margin. The devel</w:t>
      </w:r>
      <w:r w:rsidR="0086207B" w:rsidRPr="00557661">
        <w:rPr>
          <w:rFonts w:ascii="Calibri" w:eastAsia="Calibri" w:hAnsi="Calibri" w:cs="Calibri"/>
          <w:sz w:val="22"/>
          <w:szCs w:val="22"/>
        </w:rPr>
        <w:t xml:space="preserve">opment complies with </w:t>
      </w:r>
      <w:proofErr w:type="spellStart"/>
      <w:r w:rsidR="0086207B" w:rsidRPr="00557661">
        <w:rPr>
          <w:rFonts w:ascii="Calibri" w:eastAsia="Calibri" w:hAnsi="Calibri" w:cs="Calibri"/>
          <w:sz w:val="22"/>
          <w:szCs w:val="22"/>
        </w:rPr>
        <w:t>BoDs</w:t>
      </w:r>
      <w:proofErr w:type="spellEnd"/>
      <w:r w:rsidR="0086207B" w:rsidRPr="00557661">
        <w:rPr>
          <w:rFonts w:ascii="Calibri" w:eastAsia="Calibri" w:hAnsi="Calibri" w:cs="Calibri"/>
          <w:sz w:val="22"/>
          <w:szCs w:val="22"/>
        </w:rPr>
        <w:t xml:space="preserve"> in terms of its</w:t>
      </w:r>
      <w:r w:rsidRPr="00557661">
        <w:rPr>
          <w:rFonts w:ascii="Calibri" w:eastAsia="Calibri" w:hAnsi="Calibri" w:cs="Calibri"/>
          <w:sz w:val="22"/>
          <w:szCs w:val="22"/>
        </w:rPr>
        <w:t xml:space="preserve"> proportions of </w:t>
      </w:r>
      <w:r w:rsidR="002579D5" w:rsidRPr="00557661">
        <w:rPr>
          <w:rFonts w:ascii="Calibri" w:eastAsia="Calibri" w:hAnsi="Calibri" w:cs="Calibri"/>
          <w:sz w:val="22"/>
          <w:szCs w:val="22"/>
        </w:rPr>
        <w:t>2 and 3 bedroom dwellings and i</w:t>
      </w:r>
      <w:r w:rsidRPr="00557661">
        <w:rPr>
          <w:rFonts w:ascii="Calibri" w:eastAsia="Calibri" w:hAnsi="Calibri" w:cs="Calibri"/>
          <w:sz w:val="22"/>
          <w:szCs w:val="22"/>
        </w:rPr>
        <w:t xml:space="preserve">s just outside of the </w:t>
      </w:r>
      <w:r w:rsidR="0086207B" w:rsidRPr="00557661">
        <w:rPr>
          <w:rFonts w:ascii="Calibri" w:eastAsia="Calibri" w:hAnsi="Calibri" w:cs="Calibri"/>
          <w:sz w:val="22"/>
          <w:szCs w:val="22"/>
        </w:rPr>
        <w:t>requirements</w:t>
      </w:r>
      <w:r w:rsidRPr="00557661">
        <w:rPr>
          <w:rFonts w:ascii="Calibri" w:eastAsia="Calibri" w:hAnsi="Calibri" w:cs="Calibri"/>
          <w:sz w:val="22"/>
          <w:szCs w:val="22"/>
        </w:rPr>
        <w:t xml:space="preserve"> for 1 bedroom dwellings at 37.5% (the </w:t>
      </w:r>
      <w:proofErr w:type="spellStart"/>
      <w:r w:rsidRPr="00557661">
        <w:rPr>
          <w:rFonts w:ascii="Calibri" w:eastAsia="Calibri" w:hAnsi="Calibri" w:cs="Calibri"/>
          <w:sz w:val="22"/>
          <w:szCs w:val="22"/>
        </w:rPr>
        <w:t>BoDs</w:t>
      </w:r>
      <w:proofErr w:type="spellEnd"/>
      <w:r w:rsidRPr="00557661">
        <w:rPr>
          <w:rFonts w:ascii="Calibri" w:eastAsia="Calibri" w:hAnsi="Calibri" w:cs="Calibri"/>
          <w:sz w:val="22"/>
          <w:szCs w:val="22"/>
        </w:rPr>
        <w:t xml:space="preserve"> SPD target is 0-30%).  </w:t>
      </w:r>
    </w:p>
    <w:p w:rsidR="006673D5" w:rsidRPr="00557661" w:rsidRDefault="006673D5" w:rsidP="00236364">
      <w:pPr>
        <w:autoSpaceDE w:val="0"/>
        <w:autoSpaceDN w:val="0"/>
        <w:adjustRightInd w:val="0"/>
        <w:spacing w:line="276" w:lineRule="auto"/>
        <w:ind w:left="357"/>
        <w:jc w:val="both"/>
        <w:rPr>
          <w:rFonts w:ascii="Calibri" w:eastAsia="Calibri" w:hAnsi="Calibri" w:cs="Calibri"/>
          <w:sz w:val="22"/>
          <w:szCs w:val="22"/>
        </w:rPr>
      </w:pPr>
    </w:p>
    <w:p w:rsidR="00A71C31" w:rsidRPr="00557661" w:rsidRDefault="006673D5" w:rsidP="00557661">
      <w:pPr>
        <w:autoSpaceDE w:val="0"/>
        <w:autoSpaceDN w:val="0"/>
        <w:adjustRightInd w:val="0"/>
        <w:spacing w:line="276" w:lineRule="auto"/>
        <w:ind w:left="357"/>
        <w:jc w:val="both"/>
        <w:rPr>
          <w:rFonts w:ascii="Calibri" w:eastAsia="Calibri" w:hAnsi="Calibri" w:cs="Calibri"/>
          <w:sz w:val="22"/>
          <w:szCs w:val="22"/>
        </w:rPr>
      </w:pPr>
      <w:proofErr w:type="gramStart"/>
      <w:r w:rsidRPr="00557661">
        <w:rPr>
          <w:rFonts w:ascii="Calibri" w:eastAsia="Calibri" w:hAnsi="Calibri" w:cs="Calibri"/>
          <w:i/>
          <w:sz w:val="22"/>
          <w:szCs w:val="22"/>
        </w:rPr>
        <w:t xml:space="preserve">Planning Application 08/01536/FUL - </w:t>
      </w:r>
      <w:r w:rsidR="002579D5" w:rsidRPr="00557661">
        <w:rPr>
          <w:rFonts w:ascii="Calibri" w:eastAsia="Calibri" w:hAnsi="Calibri" w:cs="Calibri"/>
          <w:i/>
          <w:sz w:val="22"/>
          <w:szCs w:val="22"/>
        </w:rPr>
        <w:t>Conversion of extended building to form 1 x 3 bedroom flat and 3 x 1 bedroom flats</w:t>
      </w:r>
      <w:r w:rsidR="002579D5" w:rsidRPr="00557661">
        <w:rPr>
          <w:rFonts w:ascii="Calibri" w:eastAsia="Calibri" w:hAnsi="Calibri" w:cs="Calibri"/>
          <w:sz w:val="22"/>
          <w:szCs w:val="22"/>
        </w:rPr>
        <w:t>.</w:t>
      </w:r>
      <w:proofErr w:type="gramEnd"/>
    </w:p>
    <w:p w:rsidR="002A6897" w:rsidRDefault="00761EA8" w:rsidP="00446041">
      <w:pPr>
        <w:autoSpaceDE w:val="0"/>
        <w:autoSpaceDN w:val="0"/>
        <w:adjustRightInd w:val="0"/>
        <w:spacing w:line="276" w:lineRule="auto"/>
        <w:ind w:left="357"/>
        <w:jc w:val="both"/>
        <w:rPr>
          <w:rFonts w:ascii="Calibri" w:eastAsia="Calibri" w:hAnsi="Calibri" w:cs="Calibri"/>
          <w:sz w:val="22"/>
          <w:szCs w:val="22"/>
        </w:rPr>
      </w:pPr>
      <w:r w:rsidRPr="00761EA8">
        <w:rPr>
          <w:rFonts w:ascii="Calibri" w:eastAsia="Calibri" w:hAnsi="Calibri" w:cs="Calibri"/>
          <w:sz w:val="22"/>
          <w:szCs w:val="22"/>
        </w:rPr>
        <w:t>Th</w:t>
      </w:r>
      <w:r>
        <w:rPr>
          <w:rFonts w:ascii="Calibri" w:eastAsia="Calibri" w:hAnsi="Calibri" w:cs="Calibri"/>
          <w:sz w:val="22"/>
          <w:szCs w:val="22"/>
        </w:rPr>
        <w:t>is application was refused by committee but subsequently allowed at appeal</w:t>
      </w:r>
      <w:r w:rsidR="00446041">
        <w:rPr>
          <w:rFonts w:ascii="Calibri" w:eastAsia="Calibri" w:hAnsi="Calibri" w:cs="Calibri"/>
          <w:sz w:val="22"/>
          <w:szCs w:val="22"/>
        </w:rPr>
        <w:t>.</w:t>
      </w:r>
    </w:p>
    <w:p w:rsidR="00446041" w:rsidRDefault="00446041" w:rsidP="00446041">
      <w:pPr>
        <w:autoSpaceDE w:val="0"/>
        <w:autoSpaceDN w:val="0"/>
        <w:adjustRightInd w:val="0"/>
        <w:spacing w:line="276" w:lineRule="auto"/>
        <w:ind w:left="357"/>
        <w:jc w:val="both"/>
        <w:rPr>
          <w:rFonts w:ascii="Calibri" w:eastAsia="Calibri" w:hAnsi="Calibri" w:cs="Calibri"/>
          <w:sz w:val="22"/>
          <w:szCs w:val="22"/>
        </w:rPr>
      </w:pPr>
    </w:p>
    <w:p w:rsidR="00557661" w:rsidRDefault="00557661" w:rsidP="00446041">
      <w:pPr>
        <w:autoSpaceDE w:val="0"/>
        <w:autoSpaceDN w:val="0"/>
        <w:adjustRightInd w:val="0"/>
        <w:spacing w:line="276" w:lineRule="auto"/>
        <w:ind w:left="357"/>
        <w:jc w:val="both"/>
        <w:rPr>
          <w:rFonts w:ascii="Calibri" w:eastAsia="Calibri" w:hAnsi="Calibri" w:cs="Calibri"/>
          <w:sz w:val="22"/>
          <w:szCs w:val="22"/>
        </w:rPr>
      </w:pPr>
    </w:p>
    <w:p w:rsidR="00670AA8" w:rsidRPr="004D1C02" w:rsidRDefault="00641947" w:rsidP="00A31762">
      <w:pPr>
        <w:rPr>
          <w:rFonts w:asciiTheme="minorHAnsi" w:hAnsiTheme="minorHAnsi" w:cstheme="minorHAnsi"/>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83840" behindDoc="1" locked="0" layoutInCell="1" allowOverlap="1" wp14:anchorId="0FA1764E" wp14:editId="40444376">
                <wp:simplePos x="0" y="0"/>
                <wp:positionH relativeFrom="column">
                  <wp:posOffset>-66675</wp:posOffset>
                </wp:positionH>
                <wp:positionV relativeFrom="paragraph">
                  <wp:posOffset>107315</wp:posOffset>
                </wp:positionV>
                <wp:extent cx="5875655" cy="1790700"/>
                <wp:effectExtent l="0" t="0" r="0" b="0"/>
                <wp:wrapNone/>
                <wp:docPr id="77" name="Rectangle 77"/>
                <wp:cNvGraphicFramePr/>
                <a:graphic xmlns:a="http://schemas.openxmlformats.org/drawingml/2006/main">
                  <a:graphicData uri="http://schemas.microsoft.com/office/word/2010/wordprocessingShape">
                    <wps:wsp>
                      <wps:cNvSpPr/>
                      <wps:spPr>
                        <a:xfrm>
                          <a:off x="0" y="0"/>
                          <a:ext cx="5875655" cy="1790700"/>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5.25pt;margin-top:8.45pt;width:462.65pt;height:1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" fillcolor="#fbd4b4 [1305]" stroked="f" strokeweight="2pt"/>
            </w:pict>
          </mc:Fallback>
        </mc:AlternateContent>
      </w:r>
    </w:p>
    <w:p w:rsidR="00682A91" w:rsidRPr="00B6465D" w:rsidRDefault="00682A91" w:rsidP="00682A91">
      <w:pPr>
        <w:autoSpaceDE w:val="0"/>
        <w:autoSpaceDN w:val="0"/>
        <w:adjustRightInd w:val="0"/>
        <w:jc w:val="both"/>
        <w:rPr>
          <w:rFonts w:ascii="Calibri" w:eastAsia="Calibri" w:hAnsi="Calibri" w:cs="Calibri"/>
          <w:color w:val="984806" w:themeColor="accent6" w:themeShade="80"/>
        </w:rPr>
      </w:pPr>
      <w:r w:rsidRPr="00B6465D">
        <w:rPr>
          <w:rFonts w:ascii="Calibri" w:eastAsia="Calibri" w:hAnsi="Calibri" w:cs="Calibri"/>
          <w:b/>
          <w:color w:val="984806" w:themeColor="accent6" w:themeShade="80"/>
        </w:rPr>
        <w:t xml:space="preserve">Indicator </w:t>
      </w:r>
      <w:r>
        <w:rPr>
          <w:rFonts w:ascii="Calibri" w:eastAsia="Calibri" w:hAnsi="Calibri" w:cs="Calibri"/>
          <w:b/>
          <w:color w:val="984806" w:themeColor="accent6" w:themeShade="80"/>
        </w:rPr>
        <w:t>13: DENSITY OF DEVELOPMENT</w:t>
      </w:r>
    </w:p>
    <w:p w:rsidR="00682A91" w:rsidRPr="00B6465D" w:rsidRDefault="00682A91" w:rsidP="00682A91">
      <w:pPr>
        <w:autoSpaceDE w:val="0"/>
        <w:autoSpaceDN w:val="0"/>
        <w:adjustRightInd w:val="0"/>
        <w:jc w:val="both"/>
        <w:rPr>
          <w:rFonts w:ascii="Calibri" w:eastAsia="Calibri" w:hAnsi="Calibri" w:cs="Calibri"/>
          <w:b/>
          <w:color w:val="984806" w:themeColor="accent6" w:themeShade="80"/>
          <w:sz w:val="10"/>
          <w:szCs w:val="22"/>
        </w:rPr>
      </w:pPr>
    </w:p>
    <w:p w:rsidR="00D54CED" w:rsidRPr="008B20EB" w:rsidRDefault="00682A91" w:rsidP="00D54CED">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 xml:space="preserve">Target: </w:t>
      </w:r>
      <w:r>
        <w:rPr>
          <w:rFonts w:ascii="Calibri" w:eastAsia="Calibri" w:hAnsi="Calibri" w:cs="Calibri"/>
          <w:b/>
          <w:color w:val="984806" w:themeColor="accent6" w:themeShade="80"/>
          <w:sz w:val="22"/>
          <w:szCs w:val="22"/>
        </w:rPr>
        <w:t xml:space="preserve">City and </w:t>
      </w:r>
      <w:r w:rsidR="003161C9">
        <w:rPr>
          <w:rFonts w:ascii="Calibri" w:eastAsia="Calibri" w:hAnsi="Calibri" w:cs="Calibri"/>
          <w:b/>
          <w:color w:val="984806" w:themeColor="accent6" w:themeShade="80"/>
          <w:sz w:val="22"/>
          <w:szCs w:val="22"/>
        </w:rPr>
        <w:t>district centre</w:t>
      </w:r>
      <w:r>
        <w:rPr>
          <w:rFonts w:ascii="Calibri" w:eastAsia="Calibri" w:hAnsi="Calibri" w:cs="Calibri"/>
          <w:b/>
          <w:color w:val="984806" w:themeColor="accent6" w:themeShade="80"/>
          <w:sz w:val="22"/>
          <w:szCs w:val="22"/>
        </w:rPr>
        <w:t>s to deliver higher density residential development than w</w:t>
      </w:r>
      <w:r w:rsidR="00D54CED">
        <w:rPr>
          <w:rFonts w:ascii="Calibri" w:eastAsia="Calibri" w:hAnsi="Calibri" w:cs="Calibri"/>
          <w:b/>
          <w:color w:val="984806" w:themeColor="accent6" w:themeShade="80"/>
          <w:sz w:val="22"/>
          <w:szCs w:val="22"/>
        </w:rPr>
        <w:t xml:space="preserve">ithin the wider district areas </w:t>
      </w:r>
      <w:r w:rsidR="00A234AB">
        <w:rPr>
          <w:rFonts w:ascii="Calibri" w:eastAsia="Calibri" w:hAnsi="Calibri" w:cs="Calibri"/>
          <w:color w:val="984806" w:themeColor="accent6" w:themeShade="80"/>
          <w:sz w:val="20"/>
          <w:szCs w:val="22"/>
        </w:rPr>
        <w:t>(Oxford Core Strategy</w:t>
      </w:r>
      <w:r w:rsidR="00D54CED">
        <w:rPr>
          <w:rFonts w:ascii="Calibri" w:eastAsia="Calibri" w:hAnsi="Calibri" w:cs="Calibri"/>
          <w:color w:val="984806" w:themeColor="accent6" w:themeShade="80"/>
          <w:sz w:val="20"/>
          <w:szCs w:val="22"/>
        </w:rPr>
        <w:t xml:space="preserve"> Policy CS1</w:t>
      </w:r>
      <w:r w:rsidR="00D54CED" w:rsidRPr="008B20EB">
        <w:rPr>
          <w:rFonts w:ascii="Calibri" w:eastAsia="Calibri" w:hAnsi="Calibri" w:cs="Calibri"/>
          <w:color w:val="984806" w:themeColor="accent6" w:themeShade="80"/>
          <w:sz w:val="20"/>
          <w:szCs w:val="22"/>
        </w:rPr>
        <w:t>)</w:t>
      </w:r>
    </w:p>
    <w:p w:rsidR="00682A91" w:rsidRPr="00B6465D" w:rsidRDefault="00682A91" w:rsidP="00682A91">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82A91" w:rsidRPr="00B6465D" w:rsidTr="00682A91">
        <w:trPr>
          <w:trHeight w:val="218"/>
        </w:trPr>
        <w:tc>
          <w:tcPr>
            <w:tcW w:w="5420" w:type="dxa"/>
          </w:tcPr>
          <w:p w:rsidR="00682A91" w:rsidRPr="00B6465D" w:rsidRDefault="00682A91" w:rsidP="00682A91">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682A91" w:rsidRPr="00B6465D" w:rsidTr="00682A91">
        <w:tc>
          <w:tcPr>
            <w:tcW w:w="5420" w:type="dxa"/>
            <w:vMerge w:val="restart"/>
          </w:tcPr>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8"/>
                <w:szCs w:val="8"/>
              </w:rPr>
            </w:pPr>
          </w:p>
          <w:p w:rsidR="00682A91" w:rsidRPr="00B6465D" w:rsidRDefault="008276D1" w:rsidP="00682A91">
            <w:pPr>
              <w:autoSpaceDE w:val="0"/>
              <w:autoSpaceDN w:val="0"/>
              <w:adjustRightInd w:val="0"/>
              <w:jc w:val="center"/>
              <w:rPr>
                <w:rFonts w:ascii="Calibri" w:eastAsia="Calibri" w:hAnsi="Calibri" w:cs="Calibri"/>
                <w:b/>
                <w:color w:val="984806" w:themeColor="accent6" w:themeShade="80"/>
                <w:sz w:val="12"/>
                <w:szCs w:val="12"/>
              </w:rPr>
            </w:pPr>
            <w:r>
              <w:rPr>
                <w:b/>
                <w:noProof/>
                <w:sz w:val="32"/>
                <w:szCs w:val="32"/>
                <w:lang w:eastAsia="en-GB"/>
              </w:rPr>
              <w:drawing>
                <wp:inline distT="0" distB="0" distL="0" distR="0" wp14:anchorId="15DCD764" wp14:editId="543FE2C8">
                  <wp:extent cx="1619250" cy="504996"/>
                  <wp:effectExtent l="0" t="0" r="0" b="9525"/>
                  <wp:docPr id="194" name="Picture 194"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31EBE920" wp14:editId="425B3BA1">
                  <wp:extent cx="1085850" cy="326964"/>
                  <wp:effectExtent l="0" t="0" r="0" b="0"/>
                  <wp:docPr id="75" name="Picture 7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8"/>
                <w:szCs w:val="8"/>
              </w:rPr>
            </w:pPr>
          </w:p>
        </w:tc>
      </w:tr>
      <w:tr w:rsidR="00682A91" w:rsidRPr="00B6465D" w:rsidTr="00682A91">
        <w:tc>
          <w:tcPr>
            <w:tcW w:w="5420" w:type="dxa"/>
            <w:vMerge/>
          </w:tcPr>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b/>
                <w:noProof/>
                <w:color w:val="984806" w:themeColor="accent6" w:themeShade="80"/>
                <w:sz w:val="32"/>
                <w:szCs w:val="32"/>
                <w:lang w:eastAsia="en-GB"/>
              </w:rPr>
              <w:drawing>
                <wp:inline distT="0" distB="0" distL="0" distR="0" wp14:anchorId="410B6282" wp14:editId="6CCEF8F4">
                  <wp:extent cx="1085850" cy="326964"/>
                  <wp:effectExtent l="0" t="0" r="0" b="0"/>
                  <wp:docPr id="76" name="Picture 76"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2579D5" w:rsidRPr="00EB3F78" w:rsidRDefault="002579D5" w:rsidP="002579D5">
      <w:pPr>
        <w:autoSpaceDE w:val="0"/>
        <w:autoSpaceDN w:val="0"/>
        <w:adjustRightInd w:val="0"/>
        <w:spacing w:after="200" w:line="276" w:lineRule="auto"/>
        <w:jc w:val="both"/>
        <w:rPr>
          <w:rFonts w:ascii="Calibri" w:eastAsia="Calibri" w:hAnsi="Calibri" w:cs="Calibri"/>
          <w:sz w:val="22"/>
          <w:szCs w:val="22"/>
        </w:rPr>
      </w:pPr>
    </w:p>
    <w:p w:rsidR="00557661" w:rsidRDefault="00EB143E" w:rsidP="00557661">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The Core Strategy target relates to the </w:t>
      </w:r>
      <w:r w:rsidR="003161C9">
        <w:rPr>
          <w:rFonts w:ascii="Calibri" w:eastAsia="Calibri" w:hAnsi="Calibri" w:cs="Calibri"/>
          <w:sz w:val="22"/>
          <w:szCs w:val="22"/>
        </w:rPr>
        <w:t>city</w:t>
      </w:r>
      <w:r>
        <w:rPr>
          <w:rFonts w:ascii="Calibri" w:eastAsia="Calibri" w:hAnsi="Calibri" w:cs="Calibri"/>
          <w:sz w:val="22"/>
          <w:szCs w:val="22"/>
        </w:rPr>
        <w:t xml:space="preserve"> and </w:t>
      </w:r>
      <w:r w:rsidR="003161C9">
        <w:rPr>
          <w:rFonts w:ascii="Calibri" w:eastAsia="Calibri" w:hAnsi="Calibri" w:cs="Calibri"/>
          <w:sz w:val="22"/>
          <w:szCs w:val="22"/>
        </w:rPr>
        <w:t>district centre</w:t>
      </w:r>
      <w:r>
        <w:rPr>
          <w:rFonts w:ascii="Calibri" w:eastAsia="Calibri" w:hAnsi="Calibri" w:cs="Calibri"/>
          <w:sz w:val="22"/>
          <w:szCs w:val="22"/>
        </w:rPr>
        <w:t xml:space="preserve">s delivering higher density developments than other parts of the </w:t>
      </w:r>
      <w:r w:rsidR="003161C9">
        <w:rPr>
          <w:rFonts w:ascii="Calibri" w:eastAsia="Calibri" w:hAnsi="Calibri" w:cs="Calibri"/>
          <w:sz w:val="22"/>
          <w:szCs w:val="22"/>
        </w:rPr>
        <w:t>city</w:t>
      </w:r>
      <w:r>
        <w:rPr>
          <w:rFonts w:ascii="Calibri" w:eastAsia="Calibri" w:hAnsi="Calibri" w:cs="Calibri"/>
          <w:sz w:val="22"/>
          <w:szCs w:val="22"/>
        </w:rPr>
        <w:t xml:space="preserve">. </w:t>
      </w:r>
      <w:r w:rsidR="008276D1">
        <w:rPr>
          <w:rFonts w:ascii="Calibri" w:eastAsia="Calibri" w:hAnsi="Calibri" w:cs="Calibri"/>
          <w:sz w:val="22"/>
          <w:szCs w:val="22"/>
        </w:rPr>
        <w:t>In 2013/14 no sites of 10 or more dwellings were completed, meaning that it is not possible to provide a useful calculation of density.</w:t>
      </w:r>
    </w:p>
    <w:p w:rsidR="00557661" w:rsidRDefault="00557661" w:rsidP="00557661">
      <w:pPr>
        <w:autoSpaceDE w:val="0"/>
        <w:autoSpaceDN w:val="0"/>
        <w:adjustRightInd w:val="0"/>
        <w:spacing w:after="200" w:line="276" w:lineRule="auto"/>
        <w:ind w:left="360"/>
        <w:jc w:val="both"/>
        <w:rPr>
          <w:rFonts w:ascii="Calibri" w:eastAsia="Calibri" w:hAnsi="Calibri" w:cs="Calibri"/>
          <w:sz w:val="22"/>
          <w:szCs w:val="22"/>
        </w:rPr>
      </w:pPr>
    </w:p>
    <w:p w:rsidR="00557661" w:rsidRDefault="00557661" w:rsidP="00557661">
      <w:pPr>
        <w:autoSpaceDE w:val="0"/>
        <w:autoSpaceDN w:val="0"/>
        <w:adjustRightInd w:val="0"/>
        <w:spacing w:after="200" w:line="276" w:lineRule="auto"/>
        <w:ind w:left="360"/>
        <w:jc w:val="both"/>
        <w:rPr>
          <w:rFonts w:ascii="Calibri" w:eastAsia="Calibri" w:hAnsi="Calibri" w:cs="Calibri"/>
          <w:sz w:val="22"/>
          <w:szCs w:val="22"/>
        </w:rPr>
      </w:pPr>
    </w:p>
    <w:p w:rsidR="00557661" w:rsidRDefault="00557661" w:rsidP="00557661">
      <w:pPr>
        <w:autoSpaceDE w:val="0"/>
        <w:autoSpaceDN w:val="0"/>
        <w:adjustRightInd w:val="0"/>
        <w:spacing w:after="200" w:line="276" w:lineRule="auto"/>
        <w:ind w:left="360"/>
        <w:jc w:val="both"/>
        <w:rPr>
          <w:rFonts w:ascii="Calibri" w:eastAsia="Calibri" w:hAnsi="Calibri" w:cs="Calibri"/>
          <w:sz w:val="22"/>
          <w:szCs w:val="22"/>
        </w:rPr>
      </w:pPr>
    </w:p>
    <w:p w:rsidR="00557661" w:rsidRDefault="00557661" w:rsidP="00557661">
      <w:pPr>
        <w:autoSpaceDE w:val="0"/>
        <w:autoSpaceDN w:val="0"/>
        <w:adjustRightInd w:val="0"/>
        <w:spacing w:after="200" w:line="276" w:lineRule="auto"/>
        <w:ind w:left="360"/>
        <w:jc w:val="both"/>
        <w:rPr>
          <w:rFonts w:ascii="Calibri" w:eastAsia="Calibri" w:hAnsi="Calibri" w:cs="Calibri"/>
          <w:sz w:val="22"/>
          <w:szCs w:val="22"/>
        </w:rPr>
      </w:pPr>
    </w:p>
    <w:p w:rsidR="00557661" w:rsidRPr="00557661" w:rsidRDefault="00557661" w:rsidP="00557661">
      <w:pPr>
        <w:autoSpaceDE w:val="0"/>
        <w:autoSpaceDN w:val="0"/>
        <w:adjustRightInd w:val="0"/>
        <w:spacing w:after="200" w:line="276" w:lineRule="auto"/>
        <w:ind w:left="360"/>
        <w:jc w:val="both"/>
        <w:rPr>
          <w:rFonts w:ascii="Calibri" w:eastAsia="Calibri" w:hAnsi="Calibri" w:cs="Calibri"/>
          <w:sz w:val="22"/>
          <w:szCs w:val="22"/>
        </w:rPr>
      </w:pPr>
    </w:p>
    <w:p w:rsidR="00682A91" w:rsidRPr="00B6465D" w:rsidRDefault="00557661" w:rsidP="00682A91">
      <w:pPr>
        <w:autoSpaceDE w:val="0"/>
        <w:autoSpaceDN w:val="0"/>
        <w:adjustRightInd w:val="0"/>
        <w:jc w:val="both"/>
        <w:rPr>
          <w:rFonts w:ascii="Calibri" w:eastAsia="Calibri" w:hAnsi="Calibri" w:cs="Calibri"/>
          <w:color w:val="984806" w:themeColor="accent6" w:themeShade="80"/>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17984" behindDoc="0" locked="0" layoutInCell="1" allowOverlap="1" wp14:anchorId="5B319FC6" wp14:editId="19CB67CB">
                <wp:simplePos x="0" y="0"/>
                <wp:positionH relativeFrom="column">
                  <wp:posOffset>3391535</wp:posOffset>
                </wp:positionH>
                <wp:positionV relativeFrom="paragraph">
                  <wp:posOffset>-656590</wp:posOffset>
                </wp:positionV>
                <wp:extent cx="2427605" cy="352425"/>
                <wp:effectExtent l="0" t="0" r="0" b="9525"/>
                <wp:wrapNone/>
                <wp:docPr id="128" name="Text Box 12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8" o:spid="_x0000_s1055" type="#_x0000_t202" style="position:absolute;left:0;text-align:left;margin-left:267.05pt;margin-top:-51.7pt;width:191.15pt;height:27.7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" fillcolor="window" stroked="f" strokeweight=".5pt">
                <v:textbo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2A6897">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85888" behindDoc="1" locked="0" layoutInCell="1" allowOverlap="1" wp14:anchorId="2B5989B3" wp14:editId="25045F49">
                <wp:simplePos x="0" y="0"/>
                <wp:positionH relativeFrom="column">
                  <wp:posOffset>-66675</wp:posOffset>
                </wp:positionH>
                <wp:positionV relativeFrom="paragraph">
                  <wp:posOffset>-76200</wp:posOffset>
                </wp:positionV>
                <wp:extent cx="5885180" cy="2286000"/>
                <wp:effectExtent l="0" t="0" r="1270" b="0"/>
                <wp:wrapNone/>
                <wp:docPr id="82" name="Rectangle 82"/>
                <wp:cNvGraphicFramePr/>
                <a:graphic xmlns:a="http://schemas.openxmlformats.org/drawingml/2006/main">
                  <a:graphicData uri="http://schemas.microsoft.com/office/word/2010/wordprocessingShape">
                    <wps:wsp>
                      <wps:cNvSpPr/>
                      <wps:spPr>
                        <a:xfrm>
                          <a:off x="0" y="0"/>
                          <a:ext cx="5885180" cy="2286000"/>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5.25pt;margin-top:-6pt;width:463.4pt;height:18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" fillcolor="#fbd4b4 [1305]" stroked="f" strokeweight="2pt"/>
            </w:pict>
          </mc:Fallback>
        </mc:AlternateContent>
      </w:r>
      <w:r w:rsidR="00682A91" w:rsidRPr="00B6465D">
        <w:rPr>
          <w:rFonts w:ascii="Calibri" w:eastAsia="Calibri" w:hAnsi="Calibri" w:cs="Calibri"/>
          <w:b/>
          <w:color w:val="984806" w:themeColor="accent6" w:themeShade="80"/>
        </w:rPr>
        <w:t xml:space="preserve">Indicator </w:t>
      </w:r>
      <w:r w:rsidR="00682A91">
        <w:rPr>
          <w:rFonts w:ascii="Calibri" w:eastAsia="Calibri" w:hAnsi="Calibri" w:cs="Calibri"/>
          <w:b/>
          <w:color w:val="984806" w:themeColor="accent6" w:themeShade="80"/>
        </w:rPr>
        <w:t>14: AFFORDABLE HOUSING COMPLETIONS (GROSS) AND TENURE</w:t>
      </w:r>
    </w:p>
    <w:p w:rsidR="00682A91" w:rsidRPr="00B6465D" w:rsidRDefault="00682A91" w:rsidP="00682A91">
      <w:pPr>
        <w:autoSpaceDE w:val="0"/>
        <w:autoSpaceDN w:val="0"/>
        <w:adjustRightInd w:val="0"/>
        <w:jc w:val="both"/>
        <w:rPr>
          <w:rFonts w:ascii="Calibri" w:eastAsia="Calibri" w:hAnsi="Calibri" w:cs="Calibri"/>
          <w:b/>
          <w:color w:val="984806" w:themeColor="accent6" w:themeShade="80"/>
          <w:sz w:val="10"/>
          <w:szCs w:val="22"/>
        </w:rPr>
      </w:pPr>
    </w:p>
    <w:p w:rsidR="00C852C0" w:rsidRDefault="00682A91" w:rsidP="00682A91">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Target:</w:t>
      </w:r>
      <w:r w:rsidR="00C32EA5">
        <w:rPr>
          <w:rFonts w:ascii="Calibri" w:eastAsia="Calibri" w:hAnsi="Calibri" w:cs="Calibri"/>
          <w:b/>
          <w:color w:val="984806" w:themeColor="accent6" w:themeShade="80"/>
          <w:sz w:val="22"/>
          <w:szCs w:val="22"/>
        </w:rPr>
        <w:t xml:space="preserve"> </w:t>
      </w:r>
      <w:r w:rsidR="00C852C0">
        <w:rPr>
          <w:rFonts w:ascii="Calibri" w:eastAsia="Calibri" w:hAnsi="Calibri" w:cs="Calibri"/>
          <w:b/>
          <w:color w:val="984806" w:themeColor="accent6" w:themeShade="80"/>
          <w:sz w:val="22"/>
          <w:szCs w:val="22"/>
        </w:rPr>
        <w:t xml:space="preserve">Affordable housing completions </w:t>
      </w:r>
      <w:r w:rsidR="005F1113">
        <w:rPr>
          <w:rFonts w:ascii="Calibri" w:eastAsia="Calibri" w:hAnsi="Calibri" w:cs="Calibri"/>
          <w:b/>
          <w:color w:val="984806" w:themeColor="accent6" w:themeShade="80"/>
          <w:sz w:val="22"/>
          <w:szCs w:val="22"/>
        </w:rPr>
        <w:t>as</w:t>
      </w:r>
      <w:r w:rsidR="00C852C0">
        <w:rPr>
          <w:rFonts w:ascii="Calibri" w:eastAsia="Calibri" w:hAnsi="Calibri" w:cs="Calibri"/>
          <w:b/>
          <w:color w:val="984806" w:themeColor="accent6" w:themeShade="80"/>
          <w:sz w:val="22"/>
          <w:szCs w:val="22"/>
        </w:rPr>
        <w:t xml:space="preserve"> set in the Corporate Plan</w:t>
      </w:r>
    </w:p>
    <w:p w:rsidR="00682A91" w:rsidRPr="00B6465D" w:rsidRDefault="00C32EA5" w:rsidP="00C852C0">
      <w:pPr>
        <w:autoSpaceDE w:val="0"/>
        <w:autoSpaceDN w:val="0"/>
        <w:adjustRightInd w:val="0"/>
        <w:ind w:left="720"/>
        <w:jc w:val="both"/>
        <w:rPr>
          <w:rFonts w:ascii="Calibri" w:eastAsia="Calibri" w:hAnsi="Calibri" w:cs="Calibri"/>
          <w:b/>
          <w:color w:val="984806" w:themeColor="accent6" w:themeShade="80"/>
          <w:sz w:val="22"/>
          <w:szCs w:val="22"/>
        </w:rPr>
      </w:pPr>
      <w:r>
        <w:rPr>
          <w:rFonts w:ascii="Calibri" w:eastAsia="Calibri" w:hAnsi="Calibri" w:cs="Calibri"/>
          <w:b/>
          <w:color w:val="984806" w:themeColor="accent6" w:themeShade="80"/>
          <w:sz w:val="22"/>
          <w:szCs w:val="22"/>
        </w:rPr>
        <w:t xml:space="preserve">Tenure split of affordable housing should be </w:t>
      </w:r>
      <w:r w:rsidR="00395B8D">
        <w:rPr>
          <w:rFonts w:ascii="Calibri" w:eastAsia="Calibri" w:hAnsi="Calibri" w:cs="Calibri"/>
          <w:b/>
          <w:color w:val="984806" w:themeColor="accent6" w:themeShade="80"/>
          <w:sz w:val="22"/>
          <w:szCs w:val="22"/>
        </w:rPr>
        <w:t xml:space="preserve">at least </w:t>
      </w:r>
      <w:r>
        <w:rPr>
          <w:rFonts w:ascii="Calibri" w:eastAsia="Calibri" w:hAnsi="Calibri" w:cs="Calibri"/>
          <w:b/>
          <w:color w:val="984806" w:themeColor="accent6" w:themeShade="80"/>
          <w:sz w:val="22"/>
          <w:szCs w:val="22"/>
        </w:rPr>
        <w:t>80% social rent</w:t>
      </w:r>
      <w:r w:rsidR="00395B8D">
        <w:rPr>
          <w:rFonts w:ascii="Calibri" w:eastAsia="Calibri" w:hAnsi="Calibri" w:cs="Calibri"/>
          <w:b/>
          <w:color w:val="984806" w:themeColor="accent6" w:themeShade="80"/>
          <w:sz w:val="22"/>
          <w:szCs w:val="22"/>
        </w:rPr>
        <w:t xml:space="preserve">ed and up to 20% intermediate (including shared ownership, intermediate rental and affordable rental) </w:t>
      </w:r>
    </w:p>
    <w:p w:rsidR="00682A91" w:rsidRPr="00395B8D" w:rsidRDefault="00395B8D" w:rsidP="00A234AB">
      <w:pPr>
        <w:autoSpaceDE w:val="0"/>
        <w:autoSpaceDN w:val="0"/>
        <w:adjustRightInd w:val="0"/>
        <w:ind w:left="720"/>
        <w:jc w:val="both"/>
        <w:rPr>
          <w:rFonts w:ascii="Calibri" w:eastAsia="Calibri" w:hAnsi="Calibri" w:cs="Calibri"/>
          <w:b/>
          <w:color w:val="984806" w:themeColor="accent6" w:themeShade="80"/>
          <w:sz w:val="22"/>
          <w:szCs w:val="22"/>
        </w:rPr>
      </w:pPr>
      <w:r w:rsidRPr="008B20EB">
        <w:rPr>
          <w:rFonts w:ascii="Calibri" w:eastAsia="Calibri" w:hAnsi="Calibri" w:cs="Calibri"/>
          <w:color w:val="984806" w:themeColor="accent6" w:themeShade="80"/>
          <w:sz w:val="20"/>
          <w:szCs w:val="22"/>
        </w:rPr>
        <w:t>(</w:t>
      </w:r>
      <w:r w:rsidR="00690FF9">
        <w:rPr>
          <w:rFonts w:ascii="Calibri" w:eastAsia="Calibri" w:hAnsi="Calibri" w:cs="Calibri"/>
          <w:color w:val="984806" w:themeColor="accent6" w:themeShade="80"/>
          <w:sz w:val="20"/>
          <w:szCs w:val="22"/>
        </w:rPr>
        <w:t>Oxford Core Strategy Policy CS24</w:t>
      </w:r>
      <w:r w:rsidR="00A234AB">
        <w:rPr>
          <w:rFonts w:ascii="Calibri" w:eastAsia="Calibri" w:hAnsi="Calibri" w:cs="Calibri"/>
          <w:color w:val="984806" w:themeColor="accent6" w:themeShade="80"/>
          <w:sz w:val="20"/>
          <w:szCs w:val="22"/>
        </w:rPr>
        <w:t>, Sites and Housing Plan Policy HP3</w:t>
      </w:r>
      <w:r w:rsidR="00690FF9">
        <w:rPr>
          <w:rFonts w:ascii="Calibri" w:eastAsia="Calibri" w:hAnsi="Calibri" w:cs="Calibri"/>
          <w:color w:val="984806" w:themeColor="accent6" w:themeShade="80"/>
          <w:sz w:val="20"/>
          <w:szCs w:val="22"/>
        </w:rPr>
        <w:t xml:space="preserve"> &amp; </w:t>
      </w:r>
      <w:r>
        <w:rPr>
          <w:rFonts w:ascii="Calibri" w:eastAsia="Calibri" w:hAnsi="Calibri" w:cs="Calibri"/>
          <w:color w:val="984806" w:themeColor="accent6" w:themeShade="80"/>
          <w:sz w:val="20"/>
          <w:szCs w:val="22"/>
        </w:rPr>
        <w:t>Affordable Housing and Planning Obligations SPD</w:t>
      </w:r>
      <w:r w:rsidRPr="008B20EB">
        <w:rPr>
          <w:rFonts w:ascii="Calibri" w:eastAsia="Calibri" w:hAnsi="Calibri" w:cs="Calibri"/>
          <w:color w:val="984806" w:themeColor="accent6" w:themeShade="80"/>
          <w:sz w:val="20"/>
          <w:szCs w:val="22"/>
        </w:rPr>
        <w:t>)</w:t>
      </w:r>
    </w:p>
    <w:p w:rsidR="00C32EA5" w:rsidRPr="00B6465D" w:rsidRDefault="00C32EA5" w:rsidP="00682A91">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82A91" w:rsidRPr="00B6465D" w:rsidTr="00682A91">
        <w:trPr>
          <w:trHeight w:val="218"/>
        </w:trPr>
        <w:tc>
          <w:tcPr>
            <w:tcW w:w="5420" w:type="dxa"/>
          </w:tcPr>
          <w:p w:rsidR="00682A91" w:rsidRPr="00B6465D" w:rsidRDefault="00682A91" w:rsidP="00682A91">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682A91" w:rsidRPr="00B6465D" w:rsidTr="00682A91">
        <w:tc>
          <w:tcPr>
            <w:tcW w:w="5420" w:type="dxa"/>
            <w:vMerge w:val="restart"/>
          </w:tcPr>
          <w:p w:rsidR="00682A91" w:rsidRDefault="00682A91" w:rsidP="003E7829">
            <w:pPr>
              <w:autoSpaceDE w:val="0"/>
              <w:autoSpaceDN w:val="0"/>
              <w:adjustRightInd w:val="0"/>
              <w:rPr>
                <w:rFonts w:ascii="Calibri" w:eastAsia="Calibri" w:hAnsi="Calibri" w:cs="Calibri"/>
                <w:b/>
                <w:color w:val="984806" w:themeColor="accent6" w:themeShade="80"/>
                <w:sz w:val="12"/>
                <w:szCs w:val="12"/>
              </w:rPr>
            </w:pPr>
          </w:p>
          <w:p w:rsidR="003E7829" w:rsidRPr="00B6465D" w:rsidRDefault="003E7829" w:rsidP="00682A91">
            <w:pPr>
              <w:autoSpaceDE w:val="0"/>
              <w:autoSpaceDN w:val="0"/>
              <w:adjustRightInd w:val="0"/>
              <w:jc w:val="center"/>
              <w:rPr>
                <w:rFonts w:ascii="Calibri" w:eastAsia="Calibri" w:hAnsi="Calibri" w:cs="Calibri"/>
                <w:b/>
                <w:color w:val="984806" w:themeColor="accent6" w:themeShade="80"/>
                <w:sz w:val="12"/>
                <w:szCs w:val="12"/>
              </w:rPr>
            </w:pPr>
            <w:r>
              <w:rPr>
                <w:noProof/>
                <w:lang w:eastAsia="en-GB"/>
              </w:rPr>
              <w:drawing>
                <wp:inline distT="0" distB="0" distL="0" distR="0" wp14:anchorId="33C84365" wp14:editId="24CE454C">
                  <wp:extent cx="1647825" cy="495300"/>
                  <wp:effectExtent l="0" t="0" r="9525" b="0"/>
                  <wp:docPr id="235" name="Picture 235"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184532A7" wp14:editId="31B4F36E">
                  <wp:extent cx="1085850" cy="338644"/>
                  <wp:effectExtent l="0" t="0" r="0" b="4445"/>
                  <wp:docPr id="80" name="Picture 80"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8"/>
                <w:szCs w:val="8"/>
              </w:rPr>
            </w:pPr>
          </w:p>
        </w:tc>
      </w:tr>
      <w:tr w:rsidR="00682A91" w:rsidRPr="00B6465D" w:rsidTr="00682A91">
        <w:tc>
          <w:tcPr>
            <w:tcW w:w="5420" w:type="dxa"/>
            <w:vMerge/>
          </w:tcPr>
          <w:p w:rsidR="00682A91" w:rsidRPr="00B6465D" w:rsidRDefault="00682A91" w:rsidP="00682A91">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682A91" w:rsidRPr="00B6465D" w:rsidRDefault="00682A91" w:rsidP="00682A91">
            <w:pPr>
              <w:autoSpaceDE w:val="0"/>
              <w:autoSpaceDN w:val="0"/>
              <w:adjustRightInd w:val="0"/>
              <w:rPr>
                <w:rFonts w:ascii="Calibri" w:eastAsia="Calibri" w:hAnsi="Calibri" w:cs="Calibri"/>
                <w:b/>
                <w:color w:val="984806" w:themeColor="accent6" w:themeShade="80"/>
                <w:sz w:val="22"/>
                <w:szCs w:val="22"/>
              </w:rPr>
            </w:pPr>
            <w:r>
              <w:rPr>
                <w:noProof/>
                <w:lang w:eastAsia="en-GB"/>
              </w:rPr>
              <w:drawing>
                <wp:inline distT="0" distB="0" distL="0" distR="0" wp14:anchorId="05EB96BC" wp14:editId="3A02609F">
                  <wp:extent cx="1085850" cy="314173"/>
                  <wp:effectExtent l="0" t="0" r="0" b="0"/>
                  <wp:docPr id="81" name="Picture 81"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4182" cy="313690"/>
                          </a:xfrm>
                          <a:prstGeom prst="rect">
                            <a:avLst/>
                          </a:prstGeom>
                          <a:noFill/>
                          <a:ln>
                            <a:noFill/>
                          </a:ln>
                        </pic:spPr>
                      </pic:pic>
                    </a:graphicData>
                  </a:graphic>
                </wp:inline>
              </w:drawing>
            </w:r>
          </w:p>
        </w:tc>
      </w:tr>
    </w:tbl>
    <w:p w:rsidR="003706DC" w:rsidRDefault="003706DC" w:rsidP="00A31762">
      <w:pPr>
        <w:rPr>
          <w:rFonts w:asciiTheme="minorHAnsi" w:hAnsiTheme="minorHAnsi" w:cstheme="minorHAnsi"/>
          <w:b/>
          <w:color w:val="984806" w:themeColor="accent6" w:themeShade="80"/>
          <w:sz w:val="22"/>
          <w:szCs w:val="22"/>
        </w:rPr>
      </w:pPr>
    </w:p>
    <w:p w:rsidR="00C852C0" w:rsidRPr="00C852C0" w:rsidRDefault="00C852C0" w:rsidP="00A31762">
      <w:pPr>
        <w:rPr>
          <w:rFonts w:asciiTheme="minorHAnsi" w:hAnsiTheme="minorHAnsi" w:cstheme="minorHAnsi"/>
          <w:b/>
          <w:color w:val="984806" w:themeColor="accent6" w:themeShade="80"/>
          <w:sz w:val="22"/>
          <w:szCs w:val="22"/>
        </w:rPr>
      </w:pPr>
      <w:r>
        <w:rPr>
          <w:rFonts w:asciiTheme="minorHAnsi" w:hAnsiTheme="minorHAnsi" w:cstheme="minorHAnsi"/>
          <w:b/>
          <w:color w:val="984806" w:themeColor="accent6" w:themeShade="80"/>
          <w:sz w:val="22"/>
          <w:szCs w:val="22"/>
        </w:rPr>
        <w:t>Affordable Housing Completions</w:t>
      </w:r>
    </w:p>
    <w:p w:rsidR="00C852C0" w:rsidRPr="004D1C02" w:rsidRDefault="00C852C0" w:rsidP="00A31762">
      <w:pPr>
        <w:rPr>
          <w:rFonts w:asciiTheme="minorHAnsi" w:hAnsiTheme="minorHAnsi" w:cstheme="minorHAnsi"/>
          <w:sz w:val="22"/>
          <w:szCs w:val="22"/>
        </w:rPr>
      </w:pPr>
    </w:p>
    <w:p w:rsidR="00C852C0" w:rsidRDefault="00C852C0"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The Core Strategy set targets for the number of affordable housing </w:t>
      </w:r>
      <w:r w:rsidR="005F1113">
        <w:rPr>
          <w:rFonts w:ascii="Calibri" w:eastAsia="Calibri" w:hAnsi="Calibri" w:cs="Calibri"/>
          <w:sz w:val="22"/>
          <w:szCs w:val="22"/>
        </w:rPr>
        <w:t xml:space="preserve">units to be delivered each year up to 2011/12. </w:t>
      </w:r>
      <w:r w:rsidR="00504811">
        <w:rPr>
          <w:rFonts w:ascii="Calibri" w:eastAsia="Calibri" w:hAnsi="Calibri" w:cs="Calibri"/>
          <w:sz w:val="22"/>
          <w:szCs w:val="22"/>
        </w:rPr>
        <w:t>It is stated that targets for subsequent years will be set in the</w:t>
      </w:r>
      <w:r w:rsidR="005F1113">
        <w:rPr>
          <w:rFonts w:ascii="Calibri" w:eastAsia="Calibri" w:hAnsi="Calibri" w:cs="Calibri"/>
          <w:sz w:val="22"/>
          <w:szCs w:val="22"/>
        </w:rPr>
        <w:t xml:space="preserve"> Corporate Plan. The </w:t>
      </w:r>
      <w:r w:rsidR="00504811">
        <w:rPr>
          <w:rFonts w:ascii="Calibri" w:eastAsia="Calibri" w:hAnsi="Calibri" w:cs="Calibri"/>
          <w:sz w:val="22"/>
          <w:szCs w:val="22"/>
        </w:rPr>
        <w:t xml:space="preserve">Corporate Plan </w:t>
      </w:r>
      <w:r w:rsidR="000D077B">
        <w:rPr>
          <w:rFonts w:ascii="Calibri" w:eastAsia="Calibri" w:hAnsi="Calibri" w:cs="Calibri"/>
          <w:sz w:val="22"/>
          <w:szCs w:val="22"/>
        </w:rPr>
        <w:t xml:space="preserve">for </w:t>
      </w:r>
      <w:r w:rsidR="00504811">
        <w:rPr>
          <w:rFonts w:ascii="Calibri" w:eastAsia="Calibri" w:hAnsi="Calibri" w:cs="Calibri"/>
          <w:sz w:val="22"/>
          <w:szCs w:val="22"/>
        </w:rPr>
        <w:t>2013-2017 set a target of deliveri</w:t>
      </w:r>
      <w:r w:rsidR="005D05E7">
        <w:rPr>
          <w:rFonts w:ascii="Calibri" w:eastAsia="Calibri" w:hAnsi="Calibri" w:cs="Calibri"/>
          <w:sz w:val="22"/>
          <w:szCs w:val="22"/>
        </w:rPr>
        <w:t>ng 4</w:t>
      </w:r>
      <w:r w:rsidR="00504811">
        <w:rPr>
          <w:rFonts w:ascii="Calibri" w:eastAsia="Calibri" w:hAnsi="Calibri" w:cs="Calibri"/>
          <w:sz w:val="22"/>
          <w:szCs w:val="22"/>
        </w:rPr>
        <w:t xml:space="preserve"> affordable homes for rent in 2013/14.</w:t>
      </w:r>
      <w:r w:rsidR="005F1113">
        <w:rPr>
          <w:rFonts w:ascii="Calibri" w:eastAsia="Calibri" w:hAnsi="Calibri" w:cs="Calibri"/>
          <w:sz w:val="22"/>
          <w:szCs w:val="22"/>
        </w:rPr>
        <w:t xml:space="preserve"> </w:t>
      </w:r>
    </w:p>
    <w:p w:rsidR="00504811" w:rsidRDefault="00504811" w:rsidP="00504811">
      <w:pPr>
        <w:autoSpaceDE w:val="0"/>
        <w:autoSpaceDN w:val="0"/>
        <w:adjustRightInd w:val="0"/>
        <w:spacing w:after="200" w:line="276" w:lineRule="auto"/>
        <w:ind w:left="360"/>
        <w:jc w:val="both"/>
        <w:rPr>
          <w:rFonts w:ascii="Calibri" w:eastAsia="Calibri" w:hAnsi="Calibri" w:cs="Calibri"/>
          <w:sz w:val="22"/>
          <w:szCs w:val="22"/>
        </w:rPr>
      </w:pPr>
      <w:r>
        <w:rPr>
          <w:noProof/>
          <w:lang w:eastAsia="en-GB"/>
        </w:rPr>
        <w:drawing>
          <wp:inline distT="0" distB="0" distL="0" distR="0" wp14:anchorId="084181B1" wp14:editId="5419132E">
            <wp:extent cx="5731510" cy="2827790"/>
            <wp:effectExtent l="0" t="0" r="254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4811" w:rsidRDefault="008B306D" w:rsidP="00444DE5">
      <w:pPr>
        <w:jc w:val="center"/>
        <w:rPr>
          <w:rFonts w:ascii="Calibri" w:eastAsia="Calibri" w:hAnsi="Calibri" w:cs="Times New Roman"/>
          <w:b/>
          <w:sz w:val="20"/>
        </w:rPr>
      </w:pPr>
      <w:r>
        <w:rPr>
          <w:rFonts w:ascii="Calibri" w:eastAsia="Calibri" w:hAnsi="Calibri" w:cs="Times New Roman"/>
          <w:b/>
          <w:sz w:val="20"/>
          <w:szCs w:val="22"/>
        </w:rPr>
        <w:t>Figure 16</w:t>
      </w:r>
      <w:r w:rsidR="00504811">
        <w:rPr>
          <w:rFonts w:ascii="Calibri" w:eastAsia="Calibri" w:hAnsi="Calibri" w:cs="Times New Roman"/>
          <w:b/>
          <w:sz w:val="20"/>
          <w:szCs w:val="22"/>
        </w:rPr>
        <w:t>:</w:t>
      </w:r>
      <w:r w:rsidR="00504811">
        <w:rPr>
          <w:rFonts w:ascii="Calibri" w:eastAsia="Calibri" w:hAnsi="Calibri" w:cs="Times New Roman"/>
          <w:sz w:val="20"/>
          <w:szCs w:val="22"/>
        </w:rPr>
        <w:t xml:space="preserve"> Gross affordable </w:t>
      </w:r>
      <w:r w:rsidR="00444DE5">
        <w:rPr>
          <w:rFonts w:ascii="Calibri" w:eastAsia="Calibri" w:hAnsi="Calibri" w:cs="Times New Roman"/>
          <w:sz w:val="20"/>
          <w:szCs w:val="22"/>
        </w:rPr>
        <w:t>dwelling</w:t>
      </w:r>
      <w:r w:rsidR="00504811">
        <w:rPr>
          <w:rFonts w:ascii="Calibri" w:eastAsia="Calibri" w:hAnsi="Calibri" w:cs="Times New Roman"/>
          <w:sz w:val="20"/>
          <w:szCs w:val="22"/>
        </w:rPr>
        <w:t xml:space="preserve"> completions </w:t>
      </w:r>
      <w:r w:rsidR="00444DE5">
        <w:rPr>
          <w:rFonts w:ascii="Calibri" w:eastAsia="Calibri" w:hAnsi="Calibri" w:cs="Times New Roman"/>
          <w:sz w:val="20"/>
          <w:szCs w:val="22"/>
        </w:rPr>
        <w:t>2006/07 to 2013/14</w:t>
      </w:r>
    </w:p>
    <w:p w:rsidR="00444DE5" w:rsidRDefault="00444DE5" w:rsidP="00444DE5">
      <w:pPr>
        <w:jc w:val="center"/>
        <w:rPr>
          <w:rFonts w:ascii="Calibri" w:eastAsia="Calibri" w:hAnsi="Calibri" w:cs="Times New Roman"/>
          <w:b/>
          <w:sz w:val="20"/>
        </w:rPr>
      </w:pPr>
    </w:p>
    <w:p w:rsidR="00D11A24" w:rsidRPr="00444DE5" w:rsidRDefault="00D11A24" w:rsidP="00444DE5">
      <w:pPr>
        <w:jc w:val="center"/>
        <w:rPr>
          <w:rFonts w:ascii="Calibri" w:eastAsia="Calibri" w:hAnsi="Calibri" w:cs="Times New Roman"/>
          <w:b/>
          <w:sz w:val="20"/>
        </w:rPr>
      </w:pPr>
    </w:p>
    <w:p w:rsidR="00A056EA" w:rsidRPr="00A056EA"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16</w:t>
      </w:r>
      <w:r w:rsidR="00D11A24">
        <w:rPr>
          <w:rFonts w:ascii="Calibri" w:eastAsia="Calibri" w:hAnsi="Calibri" w:cs="Calibri"/>
          <w:sz w:val="22"/>
          <w:szCs w:val="22"/>
        </w:rPr>
        <w:t xml:space="preserve"> shows that there were no affordable housing completions during the monitoring year. Although this is disappointing, it</w:t>
      </w:r>
      <w:r w:rsidR="000F2F51">
        <w:rPr>
          <w:rFonts w:ascii="Calibri" w:eastAsia="Calibri" w:hAnsi="Calibri" w:cs="Calibri"/>
          <w:sz w:val="22"/>
          <w:szCs w:val="22"/>
        </w:rPr>
        <w:t xml:space="preserve"> is not unexpected as there were no permissions granted in the previous monitoring year.</w:t>
      </w:r>
      <w:r w:rsidR="00D11A24">
        <w:rPr>
          <w:rFonts w:ascii="Calibri" w:eastAsia="Calibri" w:hAnsi="Calibri" w:cs="Calibri"/>
          <w:sz w:val="22"/>
          <w:szCs w:val="22"/>
        </w:rPr>
        <w:t xml:space="preserve"> </w:t>
      </w:r>
      <w:r w:rsidR="000F2F51">
        <w:rPr>
          <w:rFonts w:ascii="Calibri" w:eastAsia="Calibri" w:hAnsi="Calibri" w:cs="Calibri"/>
          <w:sz w:val="22"/>
          <w:szCs w:val="22"/>
        </w:rPr>
        <w:t>The Corp</w:t>
      </w:r>
      <w:r w:rsidR="00641947">
        <w:rPr>
          <w:rFonts w:ascii="Calibri" w:eastAsia="Calibri" w:hAnsi="Calibri" w:cs="Calibri"/>
          <w:sz w:val="22"/>
          <w:szCs w:val="22"/>
        </w:rPr>
        <w:t xml:space="preserve">orate Plan target for 2013/14 </w:t>
      </w:r>
      <w:r w:rsidR="000F2F51">
        <w:rPr>
          <w:rFonts w:ascii="Calibri" w:eastAsia="Calibri" w:hAnsi="Calibri" w:cs="Calibri"/>
          <w:sz w:val="22"/>
          <w:szCs w:val="22"/>
        </w:rPr>
        <w:t>also</w:t>
      </w:r>
      <w:r w:rsidR="00641947">
        <w:rPr>
          <w:rFonts w:ascii="Calibri" w:eastAsia="Calibri" w:hAnsi="Calibri" w:cs="Calibri"/>
          <w:sz w:val="22"/>
          <w:szCs w:val="22"/>
        </w:rPr>
        <w:t xml:space="preserve"> reflects this, being</w:t>
      </w:r>
      <w:r w:rsidR="000F2F51">
        <w:rPr>
          <w:rFonts w:ascii="Calibri" w:eastAsia="Calibri" w:hAnsi="Calibri" w:cs="Calibri"/>
          <w:sz w:val="22"/>
          <w:szCs w:val="22"/>
        </w:rPr>
        <w:t xml:space="preserve"> low at only 4 units. Affordable housing delivery is expec</w:t>
      </w:r>
      <w:r w:rsidR="003706DC">
        <w:rPr>
          <w:rFonts w:ascii="Calibri" w:eastAsia="Calibri" w:hAnsi="Calibri" w:cs="Calibri"/>
          <w:sz w:val="22"/>
          <w:szCs w:val="22"/>
        </w:rPr>
        <w:t>ted</w:t>
      </w:r>
      <w:r w:rsidR="000D077B">
        <w:rPr>
          <w:rFonts w:ascii="Calibri" w:eastAsia="Calibri" w:hAnsi="Calibri" w:cs="Calibri"/>
          <w:sz w:val="22"/>
          <w:szCs w:val="22"/>
        </w:rPr>
        <w:t xml:space="preserve"> to rise in subsequent years as</w:t>
      </w:r>
      <w:r w:rsidR="0082664B" w:rsidRPr="003706DC">
        <w:rPr>
          <w:rFonts w:ascii="Calibri" w:eastAsia="Calibri" w:hAnsi="Calibri" w:cs="Calibri"/>
          <w:sz w:val="22"/>
          <w:szCs w:val="22"/>
        </w:rPr>
        <w:t xml:space="preserve"> </w:t>
      </w:r>
      <w:r w:rsidR="003706DC">
        <w:rPr>
          <w:rFonts w:ascii="Calibri" w:eastAsia="Calibri" w:hAnsi="Calibri" w:cs="Calibri"/>
          <w:sz w:val="22"/>
          <w:szCs w:val="22"/>
        </w:rPr>
        <w:t>planning permission was</w:t>
      </w:r>
      <w:r w:rsidR="00D11A24" w:rsidRPr="003706DC">
        <w:rPr>
          <w:rFonts w:ascii="Calibri" w:eastAsia="Calibri" w:hAnsi="Calibri" w:cs="Calibri"/>
          <w:sz w:val="22"/>
          <w:szCs w:val="22"/>
        </w:rPr>
        <w:t xml:space="preserve"> granted for 599 (gr</w:t>
      </w:r>
      <w:r w:rsidR="003706DC">
        <w:rPr>
          <w:rFonts w:ascii="Calibri" w:eastAsia="Calibri" w:hAnsi="Calibri" w:cs="Calibri"/>
          <w:sz w:val="22"/>
          <w:szCs w:val="22"/>
        </w:rPr>
        <w:t>oss) affordable homes during the monitoring year</w:t>
      </w:r>
      <w:r w:rsidR="00D11A24" w:rsidRPr="003706DC">
        <w:rPr>
          <w:rFonts w:ascii="Calibri" w:eastAsia="Calibri" w:hAnsi="Calibri" w:cs="Calibri"/>
          <w:sz w:val="22"/>
          <w:szCs w:val="22"/>
        </w:rPr>
        <w:t>, representing a potential n</w:t>
      </w:r>
      <w:r w:rsidR="0082664B" w:rsidRPr="003706DC">
        <w:rPr>
          <w:rFonts w:ascii="Calibri" w:eastAsia="Calibri" w:hAnsi="Calibri" w:cs="Calibri"/>
          <w:sz w:val="22"/>
          <w:szCs w:val="22"/>
        </w:rPr>
        <w:t>et gain of 493 affordable dwellings</w:t>
      </w:r>
      <w:r w:rsidR="00D11A24" w:rsidRPr="003706DC">
        <w:rPr>
          <w:rFonts w:ascii="Calibri" w:eastAsia="Calibri" w:hAnsi="Calibri" w:cs="Calibri"/>
          <w:sz w:val="22"/>
          <w:szCs w:val="22"/>
        </w:rPr>
        <w:t xml:space="preserve"> if all schemes are implemented.</w:t>
      </w:r>
      <w:r w:rsidR="0028261C" w:rsidRPr="003706DC">
        <w:rPr>
          <w:rFonts w:ascii="Calibri" w:eastAsia="Calibri" w:hAnsi="Calibri" w:cs="Calibri"/>
          <w:sz w:val="22"/>
          <w:szCs w:val="22"/>
        </w:rPr>
        <w:t xml:space="preserve"> 220 of these homes (114 net) are proposed on Oxford City Council sites.  A further 354 affordable homes have been granted outline permission at the Barton Strategic site, a joint </w:t>
      </w:r>
      <w:r w:rsidR="000D077B">
        <w:rPr>
          <w:rFonts w:ascii="Calibri" w:eastAsia="Calibri" w:hAnsi="Calibri" w:cs="Calibri"/>
          <w:sz w:val="22"/>
          <w:szCs w:val="22"/>
        </w:rPr>
        <w:lastRenderedPageBreak/>
        <w:t>venture</w:t>
      </w:r>
      <w:r w:rsidR="0028261C" w:rsidRPr="003706DC">
        <w:rPr>
          <w:rFonts w:ascii="Calibri" w:eastAsia="Calibri" w:hAnsi="Calibri" w:cs="Calibri"/>
          <w:sz w:val="22"/>
          <w:szCs w:val="22"/>
        </w:rPr>
        <w:t xml:space="preserve"> between the City Council and a private developer.</w:t>
      </w:r>
      <w:r w:rsidR="005D05E7" w:rsidRPr="003706DC">
        <w:rPr>
          <w:rFonts w:ascii="Calibri" w:eastAsia="Calibri" w:hAnsi="Calibri" w:cs="Calibri"/>
          <w:sz w:val="22"/>
          <w:szCs w:val="22"/>
        </w:rPr>
        <w:t xml:space="preserve"> </w:t>
      </w:r>
      <w:r w:rsidR="003706DC" w:rsidRPr="000F2F51">
        <w:rPr>
          <w:rFonts w:ascii="Calibri" w:eastAsia="Calibri" w:hAnsi="Calibri" w:cs="Calibri"/>
          <w:sz w:val="22"/>
          <w:szCs w:val="22"/>
        </w:rPr>
        <w:t>The 2014-2018 Corporate Plan sets a higher target of 180 affordable homes to be delivered in 2014/15</w:t>
      </w:r>
      <w:r w:rsidR="00641947">
        <w:rPr>
          <w:rFonts w:ascii="Calibri" w:eastAsia="Calibri" w:hAnsi="Calibri" w:cs="Calibri"/>
          <w:sz w:val="22"/>
          <w:szCs w:val="22"/>
        </w:rPr>
        <w:t>.</w:t>
      </w:r>
    </w:p>
    <w:p w:rsidR="00A056EA" w:rsidRDefault="00A056EA" w:rsidP="00A056EA">
      <w:pPr>
        <w:rPr>
          <w:rFonts w:asciiTheme="minorHAnsi" w:hAnsiTheme="minorHAnsi" w:cstheme="minorHAnsi"/>
          <w:b/>
          <w:color w:val="984806" w:themeColor="accent6" w:themeShade="80"/>
          <w:sz w:val="22"/>
          <w:szCs w:val="22"/>
        </w:rPr>
      </w:pPr>
      <w:r w:rsidRPr="00C615C2">
        <w:rPr>
          <w:rFonts w:ascii="Calibri" w:eastAsia="Calibri" w:hAnsi="Calibri" w:cs="Calibri"/>
          <w:b/>
          <w:noProof/>
          <w:color w:val="000000"/>
          <w:sz w:val="32"/>
          <w:szCs w:val="32"/>
          <w:lang w:eastAsia="en-GB"/>
        </w:rPr>
        <mc:AlternateContent>
          <mc:Choice Requires="wps">
            <w:drawing>
              <wp:anchor distT="0" distB="0" distL="114300" distR="114300" simplePos="0" relativeHeight="251864064" behindDoc="0" locked="0" layoutInCell="1" allowOverlap="1" wp14:anchorId="6101A82C" wp14:editId="179D7F5F">
                <wp:simplePos x="0" y="0"/>
                <wp:positionH relativeFrom="column">
                  <wp:posOffset>3533140</wp:posOffset>
                </wp:positionH>
                <wp:positionV relativeFrom="paragraph">
                  <wp:posOffset>-1115060</wp:posOffset>
                </wp:positionV>
                <wp:extent cx="2427605" cy="352425"/>
                <wp:effectExtent l="0" t="0" r="0" b="9525"/>
                <wp:wrapNone/>
                <wp:docPr id="144" name="Text Box 144"/>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261C">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4" o:spid="_x0000_s1056" type="#_x0000_t202" style="position:absolute;margin-left:278.2pt;margin-top:-87.8pt;width:191.15pt;height:27.75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" fillcolor="window" stroked="f" strokeweight=".5pt">
                <v:textbox>
                  <w:txbxContent>
                    <w:p w:rsidR="000D3CFF" w:rsidRPr="00280EB5" w:rsidRDefault="000D3CFF" w:rsidP="0028261C">
                      <w:pPr>
                        <w:jc w:val="right"/>
                        <w:rPr>
                          <w:b/>
                          <w:color w:val="984806" w:themeColor="accent6" w:themeShade="80"/>
                        </w:rPr>
                      </w:pPr>
                      <w:r w:rsidRPr="00280EB5">
                        <w:rPr>
                          <w:b/>
                          <w:color w:val="984806" w:themeColor="accent6" w:themeShade="80"/>
                        </w:rPr>
                        <w:t>Meeting Housing Needs</w:t>
                      </w:r>
                    </w:p>
                  </w:txbxContent>
                </v:textbox>
              </v:shape>
            </w:pict>
          </mc:Fallback>
        </mc:AlternateContent>
      </w:r>
      <w:r>
        <w:rPr>
          <w:rFonts w:asciiTheme="minorHAnsi" w:hAnsiTheme="minorHAnsi" w:cstheme="minorHAnsi"/>
          <w:b/>
          <w:color w:val="984806" w:themeColor="accent6" w:themeShade="80"/>
          <w:sz w:val="22"/>
          <w:szCs w:val="22"/>
        </w:rPr>
        <w:t>A</w:t>
      </w:r>
      <w:r w:rsidRPr="00A056EA">
        <w:rPr>
          <w:rFonts w:asciiTheme="minorHAnsi" w:hAnsiTheme="minorHAnsi" w:cstheme="minorHAnsi"/>
          <w:b/>
          <w:color w:val="984806" w:themeColor="accent6" w:themeShade="80"/>
          <w:sz w:val="22"/>
          <w:szCs w:val="22"/>
        </w:rPr>
        <w:t>ffordable Housing Tenure</w:t>
      </w:r>
    </w:p>
    <w:p w:rsidR="00A056EA" w:rsidRPr="00A056EA" w:rsidRDefault="00A056EA" w:rsidP="00A056EA">
      <w:pPr>
        <w:rPr>
          <w:rFonts w:asciiTheme="minorHAnsi" w:hAnsiTheme="minorHAnsi" w:cstheme="minorHAnsi"/>
          <w:b/>
          <w:color w:val="984806" w:themeColor="accent6" w:themeShade="80"/>
          <w:sz w:val="22"/>
          <w:szCs w:val="22"/>
        </w:rPr>
      </w:pPr>
    </w:p>
    <w:p w:rsidR="00A056EA" w:rsidRDefault="005F523B"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A056EA">
        <w:rPr>
          <w:rFonts w:ascii="Calibri" w:eastAsia="Calibri" w:hAnsi="Calibri" w:cs="Calibri"/>
          <w:sz w:val="22"/>
          <w:szCs w:val="22"/>
        </w:rPr>
        <w:t>It is not possible to measure the tenure split of affordable housing delivered during 2013/14 as there were no affordable housing completions.</w:t>
      </w:r>
    </w:p>
    <w:p w:rsidR="00A056EA" w:rsidRPr="00B6465D" w:rsidRDefault="00A056EA" w:rsidP="00A056EA">
      <w:pPr>
        <w:autoSpaceDE w:val="0"/>
        <w:autoSpaceDN w:val="0"/>
        <w:adjustRightInd w:val="0"/>
        <w:rPr>
          <w:rFonts w:ascii="Calibri" w:eastAsia="Calibri" w:hAnsi="Calibri" w:cs="Calibri"/>
          <w:color w:val="984806" w:themeColor="accent6" w:themeShade="80"/>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87936" behindDoc="1" locked="0" layoutInCell="1" allowOverlap="1" wp14:anchorId="102C1BC2" wp14:editId="07319674">
                <wp:simplePos x="0" y="0"/>
                <wp:positionH relativeFrom="column">
                  <wp:posOffset>-57150</wp:posOffset>
                </wp:positionH>
                <wp:positionV relativeFrom="paragraph">
                  <wp:posOffset>6350</wp:posOffset>
                </wp:positionV>
                <wp:extent cx="5885180" cy="2105025"/>
                <wp:effectExtent l="0" t="0" r="1270" b="9525"/>
                <wp:wrapNone/>
                <wp:docPr id="86" name="Rectangle 86"/>
                <wp:cNvGraphicFramePr/>
                <a:graphic xmlns:a="http://schemas.openxmlformats.org/drawingml/2006/main">
                  <a:graphicData uri="http://schemas.microsoft.com/office/word/2010/wordprocessingShape">
                    <wps:wsp>
                      <wps:cNvSpPr/>
                      <wps:spPr>
                        <a:xfrm>
                          <a:off x="0" y="0"/>
                          <a:ext cx="5885180" cy="2105025"/>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4.5pt;margin-top:.5pt;width:463.4pt;height:16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" fillcolor="#fbd4b4 [1305]" stroked="f" strokeweight="2pt"/>
            </w:pict>
          </mc:Fallback>
        </mc:AlternateContent>
      </w:r>
      <w:r>
        <w:rPr>
          <w:rFonts w:ascii="Calibri" w:eastAsia="Calibri" w:hAnsi="Calibri" w:cs="Calibri"/>
          <w:b/>
          <w:color w:val="984806" w:themeColor="accent6" w:themeShade="80"/>
        </w:rPr>
        <w:t>I</w:t>
      </w:r>
      <w:r w:rsidRPr="00B6465D">
        <w:rPr>
          <w:rFonts w:ascii="Calibri" w:eastAsia="Calibri" w:hAnsi="Calibri" w:cs="Calibri"/>
          <w:b/>
          <w:color w:val="984806" w:themeColor="accent6" w:themeShade="80"/>
        </w:rPr>
        <w:t xml:space="preserve">ndicator </w:t>
      </w:r>
      <w:r>
        <w:rPr>
          <w:rFonts w:ascii="Calibri" w:eastAsia="Calibri" w:hAnsi="Calibri" w:cs="Calibri"/>
          <w:b/>
          <w:color w:val="984806" w:themeColor="accent6" w:themeShade="80"/>
        </w:rPr>
        <w:t>15: PROPORTION OF AFFORDABLE HOUSING WHERE THERE IS A POLICY REQUIREMENT</w:t>
      </w:r>
    </w:p>
    <w:p w:rsidR="00A056EA" w:rsidRPr="00B6465D" w:rsidRDefault="00A056EA" w:rsidP="00A056EA">
      <w:pPr>
        <w:autoSpaceDE w:val="0"/>
        <w:autoSpaceDN w:val="0"/>
        <w:adjustRightInd w:val="0"/>
        <w:jc w:val="both"/>
        <w:rPr>
          <w:rFonts w:ascii="Calibri" w:eastAsia="Calibri" w:hAnsi="Calibri" w:cs="Calibri"/>
          <w:b/>
          <w:color w:val="984806" w:themeColor="accent6" w:themeShade="80"/>
          <w:sz w:val="10"/>
          <w:szCs w:val="22"/>
        </w:rPr>
      </w:pPr>
    </w:p>
    <w:p w:rsidR="00A056EA" w:rsidRDefault="00A056EA" w:rsidP="00A056EA">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Target:</w:t>
      </w:r>
      <w:r>
        <w:rPr>
          <w:rFonts w:ascii="Calibri" w:eastAsia="Calibri" w:hAnsi="Calibri" w:cs="Calibri"/>
          <w:b/>
          <w:color w:val="984806" w:themeColor="accent6" w:themeShade="80"/>
          <w:sz w:val="22"/>
          <w:szCs w:val="22"/>
        </w:rPr>
        <w:t xml:space="preserve"> 50% provision of affordable housing on qualifying sites. Contributions from commercial development where there is a need for affordable housing. </w:t>
      </w:r>
    </w:p>
    <w:p w:rsidR="00A056EA" w:rsidRPr="0028433A" w:rsidRDefault="00A056EA" w:rsidP="00A056EA">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color w:val="984806" w:themeColor="accent6" w:themeShade="80"/>
          <w:sz w:val="20"/>
          <w:szCs w:val="22"/>
        </w:rPr>
        <w:t>(Oxford Core Strategy Policy CS24 &amp; Sites and Housing Plan Policy HP3</w:t>
      </w:r>
      <w:r w:rsidRPr="008B20EB">
        <w:rPr>
          <w:rFonts w:ascii="Calibri" w:eastAsia="Calibri" w:hAnsi="Calibri" w:cs="Calibri"/>
          <w:color w:val="984806" w:themeColor="accent6" w:themeShade="80"/>
          <w:sz w:val="20"/>
          <w:szCs w:val="22"/>
        </w:rPr>
        <w:t>)</w:t>
      </w:r>
    </w:p>
    <w:p w:rsidR="00A056EA" w:rsidRPr="00B6465D" w:rsidRDefault="00A056EA" w:rsidP="00A056EA">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A056EA" w:rsidRPr="00B6465D" w:rsidTr="00C119B9">
        <w:trPr>
          <w:trHeight w:val="218"/>
        </w:trPr>
        <w:tc>
          <w:tcPr>
            <w:tcW w:w="5420" w:type="dxa"/>
          </w:tcPr>
          <w:p w:rsidR="00A056EA" w:rsidRPr="00B6465D" w:rsidRDefault="00A056EA" w:rsidP="00C119B9">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A056EA" w:rsidRPr="00B6465D" w:rsidRDefault="00A056EA" w:rsidP="00C119B9">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A056EA" w:rsidRPr="00B6465D" w:rsidTr="00C119B9">
        <w:tc>
          <w:tcPr>
            <w:tcW w:w="5420" w:type="dxa"/>
            <w:vMerge w:val="restart"/>
          </w:tcPr>
          <w:p w:rsidR="00A056EA" w:rsidRPr="00B6465D" w:rsidRDefault="00A056EA" w:rsidP="00C119B9">
            <w:pPr>
              <w:autoSpaceDE w:val="0"/>
              <w:autoSpaceDN w:val="0"/>
              <w:adjustRightInd w:val="0"/>
              <w:jc w:val="center"/>
              <w:rPr>
                <w:rFonts w:ascii="Calibri" w:eastAsia="Calibri" w:hAnsi="Calibri" w:cs="Calibri"/>
                <w:b/>
                <w:color w:val="984806" w:themeColor="accent6" w:themeShade="80"/>
                <w:sz w:val="8"/>
                <w:szCs w:val="8"/>
              </w:rPr>
            </w:pPr>
          </w:p>
          <w:p w:rsidR="00A056EA" w:rsidRPr="00B6465D" w:rsidRDefault="00A056EA" w:rsidP="00C119B9">
            <w:pPr>
              <w:autoSpaceDE w:val="0"/>
              <w:autoSpaceDN w:val="0"/>
              <w:adjustRightInd w:val="0"/>
              <w:jc w:val="center"/>
              <w:rPr>
                <w:rFonts w:ascii="Calibri" w:eastAsia="Calibri" w:hAnsi="Calibri" w:cs="Calibri"/>
                <w:b/>
                <w:color w:val="984806" w:themeColor="accent6" w:themeShade="80"/>
                <w:sz w:val="12"/>
                <w:szCs w:val="12"/>
              </w:rPr>
            </w:pPr>
            <w:r>
              <w:rPr>
                <w:b/>
                <w:noProof/>
                <w:sz w:val="32"/>
                <w:szCs w:val="32"/>
                <w:lang w:eastAsia="en-GB"/>
              </w:rPr>
              <w:drawing>
                <wp:inline distT="0" distB="0" distL="0" distR="0" wp14:anchorId="1465A3BB" wp14:editId="1A46EA45">
                  <wp:extent cx="1619250" cy="504996"/>
                  <wp:effectExtent l="0" t="0" r="0" b="9525"/>
                  <wp:docPr id="195" name="Picture 195"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A056EA" w:rsidRPr="00B6465D" w:rsidRDefault="00A056EA" w:rsidP="00C119B9">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A056EA" w:rsidRPr="00B6465D" w:rsidRDefault="00A056EA" w:rsidP="00C119B9">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2D96086C" wp14:editId="6FCDE947">
                  <wp:extent cx="1085850" cy="338644"/>
                  <wp:effectExtent l="0" t="0" r="0" b="4445"/>
                  <wp:docPr id="83" name="Picture 83"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A056EA" w:rsidRPr="00B6465D" w:rsidRDefault="00A056EA" w:rsidP="00C119B9">
            <w:pPr>
              <w:autoSpaceDE w:val="0"/>
              <w:autoSpaceDN w:val="0"/>
              <w:adjustRightInd w:val="0"/>
              <w:jc w:val="center"/>
              <w:rPr>
                <w:rFonts w:ascii="Calibri" w:eastAsia="Calibri" w:hAnsi="Calibri" w:cs="Calibri"/>
                <w:b/>
                <w:color w:val="984806" w:themeColor="accent6" w:themeShade="80"/>
                <w:sz w:val="8"/>
                <w:szCs w:val="8"/>
              </w:rPr>
            </w:pPr>
          </w:p>
        </w:tc>
      </w:tr>
      <w:tr w:rsidR="00A056EA" w:rsidRPr="00B6465D" w:rsidTr="00C119B9">
        <w:tc>
          <w:tcPr>
            <w:tcW w:w="5420" w:type="dxa"/>
            <w:vMerge/>
          </w:tcPr>
          <w:p w:rsidR="00A056EA" w:rsidRPr="00B6465D" w:rsidRDefault="00A056EA" w:rsidP="00C119B9">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A056EA" w:rsidRPr="00B6465D" w:rsidRDefault="00A056EA" w:rsidP="00C119B9">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A056EA" w:rsidRPr="00B6465D" w:rsidRDefault="00A056EA" w:rsidP="00C119B9">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497B4506" wp14:editId="1913D72A">
                  <wp:extent cx="1085850" cy="338644"/>
                  <wp:effectExtent l="0" t="0" r="0" b="4445"/>
                  <wp:docPr id="85" name="Picture 85"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A056EA" w:rsidRDefault="00A056EA" w:rsidP="00A056EA">
      <w:pPr>
        <w:autoSpaceDE w:val="0"/>
        <w:autoSpaceDN w:val="0"/>
        <w:adjustRightInd w:val="0"/>
        <w:spacing w:after="200" w:line="276" w:lineRule="auto"/>
        <w:jc w:val="both"/>
        <w:rPr>
          <w:rFonts w:ascii="Calibri" w:eastAsia="Calibri" w:hAnsi="Calibri" w:cs="Calibri"/>
          <w:sz w:val="22"/>
          <w:szCs w:val="22"/>
        </w:rPr>
      </w:pPr>
    </w:p>
    <w:p w:rsidR="00A056EA" w:rsidRDefault="003C04B5"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A056EA">
        <w:rPr>
          <w:rFonts w:ascii="Calibri" w:eastAsia="Calibri" w:hAnsi="Calibri" w:cs="Calibri"/>
          <w:sz w:val="22"/>
          <w:szCs w:val="22"/>
        </w:rPr>
        <w:t>In 2013/14 planning permission was granted for</w:t>
      </w:r>
      <w:r w:rsidR="000D077B" w:rsidRPr="00A056EA">
        <w:rPr>
          <w:rFonts w:ascii="Calibri" w:eastAsia="Calibri" w:hAnsi="Calibri" w:cs="Calibri"/>
          <w:sz w:val="22"/>
          <w:szCs w:val="22"/>
        </w:rPr>
        <w:t xml:space="preserve"> 10</w:t>
      </w:r>
      <w:r w:rsidRPr="00A056EA">
        <w:rPr>
          <w:rFonts w:ascii="Calibri" w:eastAsia="Calibri" w:hAnsi="Calibri" w:cs="Calibri"/>
          <w:sz w:val="22"/>
          <w:szCs w:val="22"/>
        </w:rPr>
        <w:t xml:space="preserve"> </w:t>
      </w:r>
      <w:r w:rsidR="00690FF9" w:rsidRPr="00A056EA">
        <w:rPr>
          <w:rFonts w:ascii="Calibri" w:eastAsia="Calibri" w:hAnsi="Calibri" w:cs="Calibri"/>
          <w:sz w:val="22"/>
          <w:szCs w:val="22"/>
        </w:rPr>
        <w:t xml:space="preserve">applications </w:t>
      </w:r>
      <w:r w:rsidRPr="00A056EA">
        <w:rPr>
          <w:rFonts w:ascii="Calibri" w:eastAsia="Calibri" w:hAnsi="Calibri" w:cs="Calibri"/>
          <w:sz w:val="22"/>
          <w:szCs w:val="22"/>
        </w:rPr>
        <w:t>that</w:t>
      </w:r>
      <w:r w:rsidR="00613B4C" w:rsidRPr="00A056EA">
        <w:rPr>
          <w:rFonts w:ascii="Calibri" w:eastAsia="Calibri" w:hAnsi="Calibri" w:cs="Calibri"/>
          <w:sz w:val="22"/>
          <w:szCs w:val="22"/>
        </w:rPr>
        <w:t xml:space="preserve"> met the threshold for applying Sites and Housing Plan Policy HP3</w:t>
      </w:r>
      <w:r w:rsidRPr="00A056EA">
        <w:rPr>
          <w:rFonts w:ascii="Calibri" w:eastAsia="Calibri" w:hAnsi="Calibri" w:cs="Calibri"/>
          <w:sz w:val="22"/>
          <w:szCs w:val="22"/>
        </w:rPr>
        <w:t>’s requirement for</w:t>
      </w:r>
      <w:r w:rsidR="00613B4C" w:rsidRPr="00A056EA">
        <w:rPr>
          <w:rFonts w:ascii="Calibri" w:eastAsia="Calibri" w:hAnsi="Calibri" w:cs="Calibri"/>
          <w:sz w:val="22"/>
          <w:szCs w:val="22"/>
        </w:rPr>
        <w:t xml:space="preserve"> a minimum </w:t>
      </w:r>
      <w:r w:rsidRPr="00A056EA">
        <w:rPr>
          <w:rFonts w:ascii="Calibri" w:eastAsia="Calibri" w:hAnsi="Calibri" w:cs="Calibri"/>
          <w:sz w:val="22"/>
          <w:szCs w:val="22"/>
        </w:rPr>
        <w:t xml:space="preserve">of 50% affordable housing. </w:t>
      </w:r>
      <w:r w:rsidR="00A669EF" w:rsidRPr="00A056EA">
        <w:rPr>
          <w:rFonts w:ascii="Calibri" w:eastAsia="Calibri" w:hAnsi="Calibri" w:cs="Calibri"/>
          <w:sz w:val="22"/>
          <w:szCs w:val="22"/>
        </w:rPr>
        <w:t xml:space="preserve"> Seven of these applications were made by the City Council, two by private developers and one </w:t>
      </w:r>
      <w:r w:rsidR="000D077B" w:rsidRPr="00A056EA">
        <w:rPr>
          <w:rFonts w:ascii="Calibri" w:eastAsia="Calibri" w:hAnsi="Calibri" w:cs="Calibri"/>
          <w:sz w:val="22"/>
          <w:szCs w:val="22"/>
        </w:rPr>
        <w:t xml:space="preserve">was </w:t>
      </w:r>
      <w:r w:rsidR="00A669EF" w:rsidRPr="00A056EA">
        <w:rPr>
          <w:rFonts w:ascii="Calibri" w:eastAsia="Calibri" w:hAnsi="Calibri" w:cs="Calibri"/>
          <w:sz w:val="22"/>
          <w:szCs w:val="22"/>
        </w:rPr>
        <w:t>a</w:t>
      </w:r>
      <w:r w:rsidR="000D077B" w:rsidRPr="00A056EA">
        <w:rPr>
          <w:rFonts w:ascii="Calibri" w:eastAsia="Calibri" w:hAnsi="Calibri" w:cs="Calibri"/>
          <w:sz w:val="22"/>
          <w:szCs w:val="22"/>
        </w:rPr>
        <w:t xml:space="preserve"> joint venture between the</w:t>
      </w:r>
      <w:r w:rsidR="00A669EF" w:rsidRPr="00A056EA">
        <w:rPr>
          <w:rFonts w:ascii="Calibri" w:eastAsia="Calibri" w:hAnsi="Calibri" w:cs="Calibri"/>
          <w:sz w:val="22"/>
          <w:szCs w:val="22"/>
        </w:rPr>
        <w:t xml:space="preserve"> City Council and </w:t>
      </w:r>
      <w:r w:rsidR="000D077B" w:rsidRPr="00A056EA">
        <w:rPr>
          <w:rFonts w:ascii="Calibri" w:eastAsia="Calibri" w:hAnsi="Calibri" w:cs="Calibri"/>
          <w:sz w:val="22"/>
          <w:szCs w:val="22"/>
        </w:rPr>
        <w:t xml:space="preserve">a </w:t>
      </w:r>
      <w:r w:rsidR="00A669EF" w:rsidRPr="00A056EA">
        <w:rPr>
          <w:rFonts w:ascii="Calibri" w:eastAsia="Calibri" w:hAnsi="Calibri" w:cs="Calibri"/>
          <w:sz w:val="22"/>
          <w:szCs w:val="22"/>
        </w:rPr>
        <w:t>private developer.</w:t>
      </w:r>
    </w:p>
    <w:p w:rsidR="00A056EA" w:rsidRDefault="00A669EF"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A056EA">
        <w:rPr>
          <w:rFonts w:ascii="Calibri" w:eastAsia="Calibri" w:hAnsi="Calibri" w:cs="Calibri"/>
          <w:sz w:val="22"/>
          <w:szCs w:val="22"/>
        </w:rPr>
        <w:t>The City Council’s applications are not assessed a</w:t>
      </w:r>
      <w:r w:rsidR="0018397F" w:rsidRPr="00A056EA">
        <w:rPr>
          <w:rFonts w:ascii="Calibri" w:eastAsia="Calibri" w:hAnsi="Calibri" w:cs="Calibri"/>
          <w:sz w:val="22"/>
          <w:szCs w:val="22"/>
        </w:rPr>
        <w:t>s part of this indicator as this could skew the results. However, it can be noted that of these applications, all meet the 50% affordable housing target, with many delivering 100% affordable housing. There were also two City Council applications that did not meet the threshold for applying Policy HP3 (as they were for less than 10 dwellings), which also delivered 100% affordable housing.</w:t>
      </w:r>
    </w:p>
    <w:p w:rsidR="003706DC" w:rsidRPr="00697358"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17</w:t>
      </w:r>
      <w:r w:rsidR="0018397F" w:rsidRPr="00A056EA">
        <w:rPr>
          <w:rFonts w:ascii="Calibri" w:eastAsia="Calibri" w:hAnsi="Calibri" w:cs="Calibri"/>
          <w:sz w:val="22"/>
          <w:szCs w:val="22"/>
        </w:rPr>
        <w:t xml:space="preserve"> summarises</w:t>
      </w:r>
      <w:r w:rsidR="003706DC" w:rsidRPr="00A056EA">
        <w:rPr>
          <w:rFonts w:ascii="Calibri" w:eastAsia="Calibri" w:hAnsi="Calibri" w:cs="Calibri"/>
          <w:sz w:val="22"/>
          <w:szCs w:val="22"/>
        </w:rPr>
        <w:t xml:space="preserve"> the qualifying</w:t>
      </w:r>
      <w:r w:rsidR="000D077B" w:rsidRPr="00A056EA">
        <w:rPr>
          <w:rFonts w:ascii="Calibri" w:eastAsia="Calibri" w:hAnsi="Calibri" w:cs="Calibri"/>
          <w:sz w:val="22"/>
          <w:szCs w:val="22"/>
        </w:rPr>
        <w:t xml:space="preserve"> applications made by private developers that were granted</w:t>
      </w:r>
      <w:r w:rsidR="003706DC" w:rsidRPr="00A056EA">
        <w:rPr>
          <w:rFonts w:ascii="Calibri" w:eastAsia="Calibri" w:hAnsi="Calibri" w:cs="Calibri"/>
          <w:sz w:val="22"/>
          <w:szCs w:val="22"/>
        </w:rPr>
        <w:t xml:space="preserve"> planning permission during 2013/14. It shows that the average proportion of afford</w:t>
      </w:r>
      <w:r w:rsidR="000D077B" w:rsidRPr="00A056EA">
        <w:rPr>
          <w:rFonts w:ascii="Calibri" w:eastAsia="Calibri" w:hAnsi="Calibri" w:cs="Calibri"/>
          <w:sz w:val="22"/>
          <w:szCs w:val="22"/>
        </w:rPr>
        <w:t>able housing delivered was 45%</w:t>
      </w:r>
      <w:r w:rsidR="00641947">
        <w:rPr>
          <w:rFonts w:ascii="Calibri" w:eastAsia="Calibri" w:hAnsi="Calibri" w:cs="Calibri"/>
          <w:sz w:val="22"/>
          <w:szCs w:val="22"/>
        </w:rPr>
        <w:t>, just below the Core Strategy and Sites and Housing Plan targets.</w:t>
      </w: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668"/>
        <w:gridCol w:w="2551"/>
        <w:gridCol w:w="2549"/>
        <w:gridCol w:w="2256"/>
      </w:tblGrid>
      <w:tr w:rsidR="000F2F51" w:rsidRPr="00E7018D" w:rsidTr="00FB6EBA">
        <w:tc>
          <w:tcPr>
            <w:tcW w:w="1668" w:type="dxa"/>
            <w:shd w:val="clear" w:color="auto" w:fill="FBD4B4" w:themeFill="accent6" w:themeFillTint="66"/>
          </w:tcPr>
          <w:p w:rsidR="000F2F51" w:rsidRPr="0018397F" w:rsidRDefault="006A07D9" w:rsidP="0018397F">
            <w:pPr>
              <w:jc w:val="center"/>
              <w:rPr>
                <w:rFonts w:asciiTheme="minorHAnsi" w:hAnsiTheme="minorHAnsi" w:cstheme="minorHAnsi"/>
                <w:b/>
                <w:sz w:val="20"/>
              </w:rPr>
            </w:pPr>
            <w:r>
              <w:rPr>
                <w:rFonts w:asciiTheme="minorHAnsi" w:hAnsiTheme="minorHAnsi" w:cstheme="minorHAnsi"/>
                <w:b/>
                <w:color w:val="404040" w:themeColor="text1" w:themeTint="BF"/>
                <w:sz w:val="20"/>
              </w:rPr>
              <w:t>Date of d</w:t>
            </w:r>
            <w:r w:rsidR="000F2F51" w:rsidRPr="0018397F">
              <w:rPr>
                <w:rFonts w:asciiTheme="minorHAnsi" w:hAnsiTheme="minorHAnsi" w:cstheme="minorHAnsi"/>
                <w:b/>
                <w:color w:val="404040" w:themeColor="text1" w:themeTint="BF"/>
                <w:sz w:val="20"/>
              </w:rPr>
              <w:t>ecision</w:t>
            </w:r>
          </w:p>
        </w:tc>
        <w:tc>
          <w:tcPr>
            <w:tcW w:w="2551" w:type="dxa"/>
            <w:shd w:val="clear" w:color="auto" w:fill="FBD4B4" w:themeFill="accent6" w:themeFillTint="66"/>
          </w:tcPr>
          <w:p w:rsidR="000F2F51" w:rsidRPr="00E7018D" w:rsidRDefault="000F2F51" w:rsidP="0018397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Application reference</w:t>
            </w:r>
          </w:p>
        </w:tc>
        <w:tc>
          <w:tcPr>
            <w:tcW w:w="2549" w:type="dxa"/>
            <w:shd w:val="clear" w:color="auto" w:fill="FBD4B4" w:themeFill="accent6" w:themeFillTint="66"/>
          </w:tcPr>
          <w:p w:rsidR="000F2F51" w:rsidRPr="00E7018D" w:rsidRDefault="000F2F51" w:rsidP="0018397F">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Site</w:t>
            </w:r>
          </w:p>
        </w:tc>
        <w:tc>
          <w:tcPr>
            <w:tcW w:w="2256" w:type="dxa"/>
            <w:shd w:val="clear" w:color="auto" w:fill="FBD4B4" w:themeFill="accent6" w:themeFillTint="66"/>
          </w:tcPr>
          <w:p w:rsidR="000F2F51" w:rsidRPr="00E7018D" w:rsidRDefault="000F2F51" w:rsidP="000F2F51">
            <w:pPr>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Proportion of affordable housing</w:t>
            </w:r>
          </w:p>
        </w:tc>
      </w:tr>
      <w:tr w:rsidR="000F2F51" w:rsidRPr="007E7050" w:rsidTr="000F2F51">
        <w:tc>
          <w:tcPr>
            <w:tcW w:w="1668" w:type="dxa"/>
            <w:shd w:val="clear" w:color="auto" w:fill="auto"/>
          </w:tcPr>
          <w:p w:rsidR="000F2F51" w:rsidRPr="0018397F"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18.10.2013</w:t>
            </w:r>
          </w:p>
        </w:tc>
        <w:tc>
          <w:tcPr>
            <w:tcW w:w="2551" w:type="dxa"/>
            <w:shd w:val="clear" w:color="auto" w:fill="auto"/>
          </w:tcPr>
          <w:p w:rsidR="000F2F51" w:rsidRPr="007E7050"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13/01383/OUT</w:t>
            </w:r>
          </w:p>
        </w:tc>
        <w:tc>
          <w:tcPr>
            <w:tcW w:w="2549" w:type="dxa"/>
            <w:shd w:val="clear" w:color="auto" w:fill="auto"/>
          </w:tcPr>
          <w:p w:rsidR="000F2F51" w:rsidRPr="007E7050" w:rsidRDefault="000F2F51" w:rsidP="0018397F">
            <w:pP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Barton Strategic Site</w:t>
            </w:r>
          </w:p>
        </w:tc>
        <w:tc>
          <w:tcPr>
            <w:tcW w:w="2256" w:type="dxa"/>
            <w:shd w:val="clear" w:color="auto" w:fill="auto"/>
          </w:tcPr>
          <w:p w:rsidR="000F2F51" w:rsidRPr="007E7050" w:rsidRDefault="000F2F51" w:rsidP="000F2F51">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40%</w:t>
            </w:r>
          </w:p>
        </w:tc>
      </w:tr>
      <w:tr w:rsidR="000F2F51" w:rsidRPr="007E7050" w:rsidTr="000F2F51">
        <w:tc>
          <w:tcPr>
            <w:tcW w:w="1668" w:type="dxa"/>
            <w:shd w:val="clear" w:color="auto" w:fill="auto"/>
          </w:tcPr>
          <w:p w:rsidR="000F2F51" w:rsidRPr="0018397F"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18.10.2013</w:t>
            </w:r>
          </w:p>
        </w:tc>
        <w:tc>
          <w:tcPr>
            <w:tcW w:w="2551" w:type="dxa"/>
            <w:shd w:val="clear" w:color="auto" w:fill="auto"/>
          </w:tcPr>
          <w:p w:rsidR="000F2F51" w:rsidRPr="007E7050"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13/00631/FUL</w:t>
            </w:r>
          </w:p>
        </w:tc>
        <w:tc>
          <w:tcPr>
            <w:tcW w:w="2549" w:type="dxa"/>
            <w:shd w:val="clear" w:color="auto" w:fill="auto"/>
          </w:tcPr>
          <w:p w:rsidR="000F2F51" w:rsidRPr="007E7050" w:rsidRDefault="000F2F51" w:rsidP="0018397F">
            <w:pP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Barton Cricket Ground</w:t>
            </w:r>
          </w:p>
        </w:tc>
        <w:tc>
          <w:tcPr>
            <w:tcW w:w="2256" w:type="dxa"/>
            <w:shd w:val="clear" w:color="auto" w:fill="auto"/>
          </w:tcPr>
          <w:p w:rsidR="000F2F51" w:rsidRPr="007E7050" w:rsidRDefault="000F2F51" w:rsidP="000F2F51">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50%</w:t>
            </w:r>
          </w:p>
        </w:tc>
      </w:tr>
      <w:tr w:rsidR="000F2F51" w:rsidRPr="007E7050" w:rsidTr="000F2F51">
        <w:tc>
          <w:tcPr>
            <w:tcW w:w="1668" w:type="dxa"/>
            <w:tcBorders>
              <w:bottom w:val="single" w:sz="4" w:space="0" w:color="984806" w:themeColor="accent6" w:themeShade="80"/>
            </w:tcBorders>
            <w:shd w:val="clear" w:color="auto" w:fill="auto"/>
          </w:tcPr>
          <w:p w:rsidR="000F2F51" w:rsidRPr="0018397F"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18.10.2013</w:t>
            </w:r>
          </w:p>
        </w:tc>
        <w:tc>
          <w:tcPr>
            <w:tcW w:w="2551" w:type="dxa"/>
            <w:tcBorders>
              <w:bottom w:val="single" w:sz="4" w:space="0" w:color="984806" w:themeColor="accent6" w:themeShade="80"/>
            </w:tcBorders>
            <w:shd w:val="clear" w:color="auto" w:fill="auto"/>
          </w:tcPr>
          <w:p w:rsidR="000F2F51" w:rsidRPr="007E7050" w:rsidRDefault="000F2F51" w:rsidP="0018397F">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13/00739/FUL</w:t>
            </w:r>
          </w:p>
        </w:tc>
        <w:tc>
          <w:tcPr>
            <w:tcW w:w="2549" w:type="dxa"/>
            <w:shd w:val="clear" w:color="auto" w:fill="auto"/>
          </w:tcPr>
          <w:p w:rsidR="000F2F51" w:rsidRPr="007E7050" w:rsidRDefault="000F2F51" w:rsidP="0018397F">
            <w:pP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Lawn Upton House</w:t>
            </w:r>
          </w:p>
        </w:tc>
        <w:tc>
          <w:tcPr>
            <w:tcW w:w="2256" w:type="dxa"/>
            <w:shd w:val="clear" w:color="auto" w:fill="auto"/>
          </w:tcPr>
          <w:p w:rsidR="000F2F51" w:rsidRPr="007E7050" w:rsidRDefault="000F2F51" w:rsidP="000F2F51">
            <w:pPr>
              <w:tabs>
                <w:tab w:val="left" w:pos="495"/>
                <w:tab w:val="center" w:pos="1020"/>
              </w:tabs>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ab/>
            </w:r>
            <w:r>
              <w:rPr>
                <w:rFonts w:asciiTheme="minorHAnsi" w:hAnsiTheme="minorHAnsi" w:cstheme="minorHAnsi"/>
                <w:color w:val="404040" w:themeColor="text1" w:themeTint="BF"/>
                <w:sz w:val="20"/>
              </w:rPr>
              <w:tab/>
              <w:t>45%</w:t>
            </w:r>
          </w:p>
        </w:tc>
      </w:tr>
      <w:tr w:rsidR="000F2F51" w:rsidRPr="007E7050" w:rsidTr="00FB6EBA">
        <w:tc>
          <w:tcPr>
            <w:tcW w:w="1668" w:type="dxa"/>
            <w:tcBorders>
              <w:left w:val="nil"/>
              <w:bottom w:val="nil"/>
              <w:right w:val="nil"/>
            </w:tcBorders>
            <w:shd w:val="clear" w:color="auto" w:fill="auto"/>
          </w:tcPr>
          <w:p w:rsidR="000F2F51" w:rsidRDefault="000F2F51" w:rsidP="0018397F">
            <w:pPr>
              <w:jc w:val="center"/>
              <w:rPr>
                <w:rFonts w:asciiTheme="minorHAnsi" w:hAnsiTheme="minorHAnsi" w:cstheme="minorHAnsi"/>
                <w:color w:val="404040" w:themeColor="text1" w:themeTint="BF"/>
                <w:sz w:val="20"/>
              </w:rPr>
            </w:pPr>
          </w:p>
        </w:tc>
        <w:tc>
          <w:tcPr>
            <w:tcW w:w="2551" w:type="dxa"/>
            <w:tcBorders>
              <w:left w:val="nil"/>
              <w:bottom w:val="nil"/>
            </w:tcBorders>
            <w:shd w:val="clear" w:color="auto" w:fill="auto"/>
          </w:tcPr>
          <w:p w:rsidR="000F2F51" w:rsidRDefault="000F2F51" w:rsidP="0018397F">
            <w:pPr>
              <w:jc w:val="center"/>
              <w:rPr>
                <w:rFonts w:asciiTheme="minorHAnsi" w:hAnsiTheme="minorHAnsi" w:cstheme="minorHAnsi"/>
                <w:color w:val="404040" w:themeColor="text1" w:themeTint="BF"/>
                <w:sz w:val="20"/>
              </w:rPr>
            </w:pPr>
          </w:p>
        </w:tc>
        <w:tc>
          <w:tcPr>
            <w:tcW w:w="2549" w:type="dxa"/>
            <w:shd w:val="clear" w:color="auto" w:fill="FBD4B4" w:themeFill="accent6" w:themeFillTint="66"/>
          </w:tcPr>
          <w:p w:rsidR="000F2F51" w:rsidRPr="000F2F51" w:rsidRDefault="000F2F51" w:rsidP="000F2F51">
            <w:pPr>
              <w:jc w:val="center"/>
              <w:rPr>
                <w:rFonts w:asciiTheme="minorHAnsi" w:hAnsiTheme="minorHAnsi" w:cstheme="minorHAnsi"/>
                <w:b/>
                <w:color w:val="404040" w:themeColor="text1" w:themeTint="BF"/>
                <w:sz w:val="20"/>
              </w:rPr>
            </w:pPr>
            <w:r w:rsidRPr="000F2F51">
              <w:rPr>
                <w:rFonts w:asciiTheme="minorHAnsi" w:hAnsiTheme="minorHAnsi" w:cstheme="minorHAnsi"/>
                <w:b/>
                <w:color w:val="404040" w:themeColor="text1" w:themeTint="BF"/>
                <w:sz w:val="20"/>
              </w:rPr>
              <w:t>Average proportion</w:t>
            </w:r>
          </w:p>
        </w:tc>
        <w:tc>
          <w:tcPr>
            <w:tcW w:w="2256" w:type="dxa"/>
            <w:shd w:val="clear" w:color="auto" w:fill="FBD4B4" w:themeFill="accent6" w:themeFillTint="66"/>
          </w:tcPr>
          <w:p w:rsidR="000F2F51" w:rsidRPr="000F2F51" w:rsidRDefault="000F2F51" w:rsidP="000F2F51">
            <w:pPr>
              <w:tabs>
                <w:tab w:val="left" w:pos="495"/>
                <w:tab w:val="center" w:pos="1020"/>
              </w:tabs>
              <w:jc w:val="center"/>
              <w:rPr>
                <w:rFonts w:asciiTheme="minorHAnsi" w:hAnsiTheme="minorHAnsi" w:cstheme="minorHAnsi"/>
                <w:b/>
                <w:color w:val="404040" w:themeColor="text1" w:themeTint="BF"/>
                <w:sz w:val="20"/>
              </w:rPr>
            </w:pPr>
            <w:r>
              <w:rPr>
                <w:rFonts w:asciiTheme="minorHAnsi" w:hAnsiTheme="minorHAnsi" w:cstheme="minorHAnsi"/>
                <w:b/>
                <w:color w:val="404040" w:themeColor="text1" w:themeTint="BF"/>
                <w:sz w:val="20"/>
              </w:rPr>
              <w:t>45%</w:t>
            </w:r>
          </w:p>
        </w:tc>
      </w:tr>
    </w:tbl>
    <w:p w:rsidR="005F523B" w:rsidRDefault="005F523B" w:rsidP="005F523B">
      <w:pPr>
        <w:rPr>
          <w:rFonts w:asciiTheme="minorHAnsi" w:hAnsiTheme="minorHAnsi" w:cstheme="minorHAnsi"/>
          <w:sz w:val="22"/>
          <w:szCs w:val="22"/>
          <w:highlight w:val="yellow"/>
        </w:rPr>
      </w:pPr>
    </w:p>
    <w:p w:rsidR="000F2F51" w:rsidRDefault="008B306D" w:rsidP="000F2F51">
      <w:pPr>
        <w:jc w:val="center"/>
        <w:rPr>
          <w:rFonts w:ascii="Calibri" w:eastAsia="Calibri" w:hAnsi="Calibri" w:cs="Times New Roman"/>
          <w:sz w:val="20"/>
          <w:szCs w:val="22"/>
        </w:rPr>
      </w:pPr>
      <w:r>
        <w:rPr>
          <w:rFonts w:ascii="Calibri" w:eastAsia="Calibri" w:hAnsi="Calibri" w:cs="Times New Roman"/>
          <w:b/>
          <w:sz w:val="20"/>
          <w:szCs w:val="22"/>
        </w:rPr>
        <w:t>Figure 17</w:t>
      </w:r>
      <w:r w:rsidR="000F2F51">
        <w:rPr>
          <w:rFonts w:ascii="Calibri" w:eastAsia="Calibri" w:hAnsi="Calibri" w:cs="Times New Roman"/>
          <w:b/>
          <w:sz w:val="20"/>
          <w:szCs w:val="22"/>
        </w:rPr>
        <w:t>:</w:t>
      </w:r>
      <w:r w:rsidR="000F2F51">
        <w:rPr>
          <w:rFonts w:ascii="Calibri" w:eastAsia="Calibri" w:hAnsi="Calibri" w:cs="Times New Roman"/>
          <w:sz w:val="20"/>
          <w:szCs w:val="22"/>
        </w:rPr>
        <w:t xml:space="preserve"> Provision of affordable housing on qualifying sites 2013/14</w:t>
      </w:r>
    </w:p>
    <w:p w:rsidR="000D077B" w:rsidRDefault="000D077B" w:rsidP="000F2F51">
      <w:pPr>
        <w:jc w:val="center"/>
        <w:rPr>
          <w:rFonts w:ascii="Calibri" w:eastAsia="Calibri" w:hAnsi="Calibri" w:cs="Times New Roman"/>
          <w:b/>
          <w:sz w:val="20"/>
        </w:rPr>
      </w:pPr>
    </w:p>
    <w:p w:rsidR="0018397F" w:rsidRDefault="0018397F" w:rsidP="000F2F51">
      <w:pPr>
        <w:jc w:val="center"/>
        <w:rPr>
          <w:rFonts w:asciiTheme="minorHAnsi" w:hAnsiTheme="minorHAnsi" w:cstheme="minorHAnsi"/>
          <w:sz w:val="22"/>
          <w:szCs w:val="22"/>
          <w:highlight w:val="yellow"/>
        </w:rPr>
      </w:pPr>
    </w:p>
    <w:p w:rsidR="00C92379" w:rsidRDefault="00C92379" w:rsidP="000F2F51">
      <w:pPr>
        <w:jc w:val="center"/>
        <w:rPr>
          <w:rFonts w:asciiTheme="minorHAnsi" w:hAnsiTheme="minorHAnsi" w:cstheme="minorHAnsi"/>
          <w:sz w:val="22"/>
          <w:szCs w:val="22"/>
          <w:highlight w:val="yellow"/>
        </w:rPr>
      </w:pPr>
    </w:p>
    <w:p w:rsidR="000D077B" w:rsidRDefault="000D077B" w:rsidP="000F2F51">
      <w:pPr>
        <w:jc w:val="center"/>
        <w:rPr>
          <w:rFonts w:asciiTheme="minorHAnsi" w:hAnsiTheme="minorHAnsi" w:cstheme="minorHAnsi"/>
          <w:sz w:val="22"/>
          <w:szCs w:val="22"/>
          <w:highlight w:val="yellow"/>
        </w:rPr>
      </w:pPr>
    </w:p>
    <w:p w:rsidR="000D077B" w:rsidRDefault="000D077B" w:rsidP="000F2F51">
      <w:pPr>
        <w:jc w:val="center"/>
        <w:rPr>
          <w:rFonts w:asciiTheme="minorHAnsi" w:hAnsiTheme="minorHAnsi" w:cstheme="minorHAnsi"/>
          <w:sz w:val="22"/>
          <w:szCs w:val="22"/>
          <w:highlight w:val="yellow"/>
        </w:rPr>
      </w:pPr>
    </w:p>
    <w:p w:rsidR="00670AA8" w:rsidRPr="004D1C02" w:rsidRDefault="00670AA8" w:rsidP="00A31762">
      <w:pPr>
        <w:rPr>
          <w:rFonts w:asciiTheme="minorHAnsi" w:hAnsiTheme="minorHAnsi" w:cstheme="minorHAnsi"/>
          <w:sz w:val="22"/>
          <w:szCs w:val="22"/>
        </w:rPr>
      </w:pPr>
    </w:p>
    <w:p w:rsidR="00BA5884" w:rsidRPr="00B6465D" w:rsidRDefault="00C615C2" w:rsidP="00BA5884">
      <w:pPr>
        <w:autoSpaceDE w:val="0"/>
        <w:autoSpaceDN w:val="0"/>
        <w:adjustRightInd w:val="0"/>
        <w:jc w:val="both"/>
        <w:rPr>
          <w:rFonts w:ascii="Calibri" w:eastAsia="Calibri" w:hAnsi="Calibri" w:cs="Calibri"/>
          <w:color w:val="984806" w:themeColor="accent6" w:themeShade="80"/>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22080" behindDoc="0" locked="0" layoutInCell="1" allowOverlap="1" wp14:anchorId="293233E3" wp14:editId="05FD45D6">
                <wp:simplePos x="0" y="0"/>
                <wp:positionH relativeFrom="column">
                  <wp:posOffset>3475990</wp:posOffset>
                </wp:positionH>
                <wp:positionV relativeFrom="paragraph">
                  <wp:posOffset>-598170</wp:posOffset>
                </wp:positionV>
                <wp:extent cx="2427605" cy="352425"/>
                <wp:effectExtent l="0" t="0" r="0" b="9525"/>
                <wp:wrapNone/>
                <wp:docPr id="130" name="Text Box 130"/>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0" o:spid="_x0000_s1057" type="#_x0000_t202" style="position:absolute;left:0;text-align:left;margin-left:273.7pt;margin-top:-47.1pt;width:191.15pt;height:27.7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" fillcolor="window" stroked="f" strokeweight=".5pt">
                <v:textbox>
                  <w:txbxContent>
                    <w:p w:rsidR="000D3CFF" w:rsidRPr="00280EB5" w:rsidRDefault="000D3CFF" w:rsidP="00C615C2">
                      <w:pPr>
                        <w:jc w:val="right"/>
                        <w:rPr>
                          <w:b/>
                          <w:color w:val="984806" w:themeColor="accent6" w:themeShade="80"/>
                        </w:rPr>
                      </w:pPr>
                      <w:r w:rsidRPr="00280EB5">
                        <w:rPr>
                          <w:b/>
                          <w:color w:val="984806" w:themeColor="accent6" w:themeShade="80"/>
                        </w:rPr>
                        <w:t>Meeting Housing Needs</w:t>
                      </w:r>
                    </w:p>
                  </w:txbxContent>
                </v:textbox>
              </v:shape>
            </w:pict>
          </mc:Fallback>
        </mc:AlternateContent>
      </w: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89984" behindDoc="1" locked="0" layoutInCell="1" allowOverlap="1" wp14:anchorId="606CE953" wp14:editId="4D3FF309">
                <wp:simplePos x="0" y="0"/>
                <wp:positionH relativeFrom="column">
                  <wp:posOffset>-75565</wp:posOffset>
                </wp:positionH>
                <wp:positionV relativeFrom="paragraph">
                  <wp:posOffset>-52705</wp:posOffset>
                </wp:positionV>
                <wp:extent cx="5885180" cy="1800225"/>
                <wp:effectExtent l="0" t="0" r="1270" b="9525"/>
                <wp:wrapNone/>
                <wp:docPr id="89" name="Rectangle 89"/>
                <wp:cNvGraphicFramePr/>
                <a:graphic xmlns:a="http://schemas.openxmlformats.org/drawingml/2006/main">
                  <a:graphicData uri="http://schemas.microsoft.com/office/word/2010/wordprocessingShape">
                    <wps:wsp>
                      <wps:cNvSpPr/>
                      <wps:spPr>
                        <a:xfrm>
                          <a:off x="0" y="0"/>
                          <a:ext cx="5885180" cy="1800225"/>
                        </a:xfrm>
                        <a:prstGeom prst="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5.95pt;margin-top:-4.15pt;width:463.4pt;height:14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" fillcolor="#fbd4b4 [1305]" stroked="f" strokeweight="2pt"/>
            </w:pict>
          </mc:Fallback>
        </mc:AlternateContent>
      </w:r>
      <w:r w:rsidR="00BA5884">
        <w:rPr>
          <w:rFonts w:ascii="Calibri" w:eastAsia="Calibri" w:hAnsi="Calibri" w:cs="Calibri"/>
          <w:b/>
          <w:color w:val="984806" w:themeColor="accent6" w:themeShade="80"/>
        </w:rPr>
        <w:t>I</w:t>
      </w:r>
      <w:r w:rsidR="00BA5884" w:rsidRPr="00B6465D">
        <w:rPr>
          <w:rFonts w:ascii="Calibri" w:eastAsia="Calibri" w:hAnsi="Calibri" w:cs="Calibri"/>
          <w:b/>
          <w:color w:val="984806" w:themeColor="accent6" w:themeShade="80"/>
        </w:rPr>
        <w:t xml:space="preserve">ndicator </w:t>
      </w:r>
      <w:r w:rsidR="00BA5884">
        <w:rPr>
          <w:rFonts w:ascii="Calibri" w:eastAsia="Calibri" w:hAnsi="Calibri" w:cs="Calibri"/>
          <w:b/>
          <w:color w:val="984806" w:themeColor="accent6" w:themeShade="80"/>
        </w:rPr>
        <w:t>16: STUDENTS AND PURPOSE BUILT STUDENT ACCOMMODATION</w:t>
      </w:r>
    </w:p>
    <w:p w:rsidR="00BA5884" w:rsidRPr="00B6465D" w:rsidRDefault="00BA5884" w:rsidP="00BA5884">
      <w:pPr>
        <w:autoSpaceDE w:val="0"/>
        <w:autoSpaceDN w:val="0"/>
        <w:adjustRightInd w:val="0"/>
        <w:jc w:val="both"/>
        <w:rPr>
          <w:rFonts w:ascii="Calibri" w:eastAsia="Calibri" w:hAnsi="Calibri" w:cs="Calibri"/>
          <w:b/>
          <w:color w:val="984806" w:themeColor="accent6" w:themeShade="80"/>
          <w:sz w:val="10"/>
          <w:szCs w:val="22"/>
        </w:rPr>
      </w:pPr>
    </w:p>
    <w:p w:rsidR="00BA5884" w:rsidRPr="0028433A" w:rsidRDefault="00BA5884" w:rsidP="00BA5884">
      <w:pPr>
        <w:autoSpaceDE w:val="0"/>
        <w:autoSpaceDN w:val="0"/>
        <w:adjustRightInd w:val="0"/>
        <w:jc w:val="both"/>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Target:</w:t>
      </w:r>
      <w:r>
        <w:rPr>
          <w:rFonts w:ascii="Calibri" w:eastAsia="Calibri" w:hAnsi="Calibri" w:cs="Calibri"/>
          <w:b/>
          <w:color w:val="984806" w:themeColor="accent6" w:themeShade="80"/>
          <w:sz w:val="22"/>
          <w:szCs w:val="22"/>
        </w:rPr>
        <w:t xml:space="preserve"> </w:t>
      </w:r>
      <w:r w:rsidR="002E6B5D">
        <w:rPr>
          <w:rFonts w:ascii="Calibri" w:eastAsia="Calibri" w:hAnsi="Calibri" w:cs="Calibri"/>
          <w:b/>
          <w:color w:val="984806" w:themeColor="accent6" w:themeShade="80"/>
          <w:sz w:val="22"/>
          <w:szCs w:val="22"/>
        </w:rPr>
        <w:t>N</w:t>
      </w:r>
      <w:r>
        <w:rPr>
          <w:rFonts w:ascii="Calibri" w:eastAsia="Calibri" w:hAnsi="Calibri" w:cs="Calibri"/>
          <w:b/>
          <w:color w:val="984806" w:themeColor="accent6" w:themeShade="80"/>
          <w:sz w:val="22"/>
          <w:szCs w:val="22"/>
        </w:rPr>
        <w:t>o increase in</w:t>
      </w:r>
      <w:r w:rsidR="0028433A">
        <w:rPr>
          <w:rFonts w:ascii="Calibri" w:eastAsia="Calibri" w:hAnsi="Calibri" w:cs="Calibri"/>
          <w:b/>
          <w:color w:val="984806" w:themeColor="accent6" w:themeShade="80"/>
          <w:sz w:val="22"/>
          <w:szCs w:val="22"/>
        </w:rPr>
        <w:t xml:space="preserve"> academic </w:t>
      </w:r>
      <w:proofErr w:type="spellStart"/>
      <w:r w:rsidR="0028433A">
        <w:rPr>
          <w:rFonts w:ascii="Calibri" w:eastAsia="Calibri" w:hAnsi="Calibri" w:cs="Calibri"/>
          <w:b/>
          <w:color w:val="984806" w:themeColor="accent6" w:themeShade="80"/>
          <w:sz w:val="22"/>
          <w:szCs w:val="22"/>
        </w:rPr>
        <w:t>floorspace</w:t>
      </w:r>
      <w:proofErr w:type="spellEnd"/>
      <w:r w:rsidR="0028433A">
        <w:rPr>
          <w:rFonts w:ascii="Calibri" w:eastAsia="Calibri" w:hAnsi="Calibri" w:cs="Calibri"/>
          <w:b/>
          <w:color w:val="984806" w:themeColor="accent6" w:themeShade="80"/>
          <w:sz w:val="22"/>
          <w:szCs w:val="22"/>
        </w:rPr>
        <w:t xml:space="preserve"> </w:t>
      </w:r>
      <w:r>
        <w:rPr>
          <w:rFonts w:ascii="Calibri" w:eastAsia="Calibri" w:hAnsi="Calibri" w:cs="Calibri"/>
          <w:b/>
          <w:color w:val="984806" w:themeColor="accent6" w:themeShade="80"/>
          <w:sz w:val="22"/>
          <w:szCs w:val="22"/>
        </w:rPr>
        <w:t xml:space="preserve">if there are more than 3,000 students outside of accommodation provided by the relevant university. </w:t>
      </w:r>
      <w:r w:rsidR="00A234AB">
        <w:rPr>
          <w:rFonts w:ascii="Calibri" w:eastAsia="Calibri" w:hAnsi="Calibri" w:cs="Calibri"/>
          <w:color w:val="984806" w:themeColor="accent6" w:themeShade="80"/>
          <w:sz w:val="20"/>
          <w:szCs w:val="22"/>
        </w:rPr>
        <w:t xml:space="preserve">(Oxford Core Strategy </w:t>
      </w:r>
      <w:r w:rsidR="002E6B5D">
        <w:rPr>
          <w:rFonts w:ascii="Calibri" w:eastAsia="Calibri" w:hAnsi="Calibri" w:cs="Calibri"/>
          <w:color w:val="984806" w:themeColor="accent6" w:themeShade="80"/>
          <w:sz w:val="20"/>
          <w:szCs w:val="22"/>
        </w:rPr>
        <w:t>Policy CS25</w:t>
      </w:r>
      <w:r w:rsidR="0028433A" w:rsidRPr="008B20EB">
        <w:rPr>
          <w:rFonts w:ascii="Calibri" w:eastAsia="Calibri" w:hAnsi="Calibri" w:cs="Calibri"/>
          <w:color w:val="984806" w:themeColor="accent6" w:themeShade="80"/>
          <w:sz w:val="20"/>
          <w:szCs w:val="22"/>
        </w:rPr>
        <w:t>)</w:t>
      </w:r>
    </w:p>
    <w:p w:rsidR="00BA5884" w:rsidRPr="00B6465D" w:rsidRDefault="00BA5884" w:rsidP="00BA5884">
      <w:pPr>
        <w:autoSpaceDE w:val="0"/>
        <w:autoSpaceDN w:val="0"/>
        <w:adjustRightInd w:val="0"/>
        <w:jc w:val="both"/>
        <w:rPr>
          <w:rFonts w:ascii="Calibri" w:eastAsia="Calibri" w:hAnsi="Calibri" w:cs="Calibri"/>
          <w:b/>
          <w:color w:val="984806" w:themeColor="accent6"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BA5884" w:rsidRPr="00B6465D" w:rsidTr="00080674">
        <w:trPr>
          <w:trHeight w:val="218"/>
        </w:trPr>
        <w:tc>
          <w:tcPr>
            <w:tcW w:w="5420" w:type="dxa"/>
          </w:tcPr>
          <w:p w:rsidR="00BA5884" w:rsidRPr="00B6465D" w:rsidRDefault="00BA5884" w:rsidP="00080674">
            <w:pPr>
              <w:autoSpaceDE w:val="0"/>
              <w:autoSpaceDN w:val="0"/>
              <w:adjustRightInd w:val="0"/>
              <w:rPr>
                <w:b/>
                <w:noProof/>
                <w:color w:val="984806" w:themeColor="accent6" w:themeShade="80"/>
                <w:sz w:val="16"/>
                <w:szCs w:val="16"/>
                <w:lang w:eastAsia="en-GB"/>
              </w:rPr>
            </w:pPr>
            <w:r w:rsidRPr="00B6465D">
              <w:rPr>
                <w:rFonts w:ascii="Calibri" w:eastAsia="Calibri" w:hAnsi="Calibri" w:cs="Calibri"/>
                <w:b/>
                <w:color w:val="984806" w:themeColor="accent6" w:themeShade="80"/>
                <w:sz w:val="22"/>
                <w:szCs w:val="22"/>
              </w:rPr>
              <w:t>Performance against target 2013/14:</w:t>
            </w:r>
          </w:p>
        </w:tc>
        <w:tc>
          <w:tcPr>
            <w:tcW w:w="3714" w:type="dxa"/>
            <w:gridSpan w:val="2"/>
          </w:tcPr>
          <w:p w:rsidR="00BA5884" w:rsidRPr="00B6465D" w:rsidRDefault="00BA5884" w:rsidP="00080674">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Performance in previous two years:</w:t>
            </w:r>
          </w:p>
        </w:tc>
      </w:tr>
      <w:tr w:rsidR="00BA5884" w:rsidRPr="00B6465D" w:rsidTr="00080674">
        <w:tc>
          <w:tcPr>
            <w:tcW w:w="5420" w:type="dxa"/>
            <w:vMerge w:val="restart"/>
          </w:tcPr>
          <w:p w:rsidR="00BA5884" w:rsidRPr="00B6465D" w:rsidRDefault="00BA5884" w:rsidP="00080674">
            <w:pPr>
              <w:autoSpaceDE w:val="0"/>
              <w:autoSpaceDN w:val="0"/>
              <w:adjustRightInd w:val="0"/>
              <w:jc w:val="center"/>
              <w:rPr>
                <w:rFonts w:ascii="Calibri" w:eastAsia="Calibri" w:hAnsi="Calibri" w:cs="Calibri"/>
                <w:b/>
                <w:color w:val="984806" w:themeColor="accent6" w:themeShade="80"/>
                <w:sz w:val="8"/>
                <w:szCs w:val="8"/>
              </w:rPr>
            </w:pPr>
          </w:p>
          <w:p w:rsidR="006B4217" w:rsidRPr="00B6465D" w:rsidRDefault="005A4BBF" w:rsidP="00080674">
            <w:pPr>
              <w:autoSpaceDE w:val="0"/>
              <w:autoSpaceDN w:val="0"/>
              <w:adjustRightInd w:val="0"/>
              <w:jc w:val="center"/>
              <w:rPr>
                <w:rFonts w:ascii="Calibri" w:eastAsia="Calibri" w:hAnsi="Calibri" w:cs="Calibri"/>
                <w:b/>
                <w:color w:val="984806" w:themeColor="accent6" w:themeShade="80"/>
                <w:sz w:val="12"/>
                <w:szCs w:val="12"/>
              </w:rPr>
            </w:pPr>
            <w:r>
              <w:rPr>
                <w:b/>
                <w:noProof/>
                <w:sz w:val="32"/>
                <w:szCs w:val="32"/>
                <w:lang w:eastAsia="en-GB"/>
              </w:rPr>
              <w:drawing>
                <wp:inline distT="0" distB="0" distL="0" distR="0" wp14:anchorId="295B90F7" wp14:editId="38D50E66">
                  <wp:extent cx="1619250" cy="504996"/>
                  <wp:effectExtent l="0" t="0" r="0" b="9525"/>
                  <wp:docPr id="239" name="Picture 239"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BA5884" w:rsidRPr="00B6465D" w:rsidRDefault="00BA5884" w:rsidP="00080674">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2012/13:</w:t>
            </w:r>
          </w:p>
        </w:tc>
        <w:tc>
          <w:tcPr>
            <w:tcW w:w="2613" w:type="dxa"/>
          </w:tcPr>
          <w:p w:rsidR="00BA5884" w:rsidRPr="00B6465D" w:rsidRDefault="00BA5884" w:rsidP="00080674">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60964182" wp14:editId="7F5C0BFD">
                  <wp:extent cx="1085850" cy="338644"/>
                  <wp:effectExtent l="0" t="0" r="0" b="4445"/>
                  <wp:docPr id="87" name="Picture 87"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BA5884" w:rsidRPr="00B6465D" w:rsidRDefault="00BA5884" w:rsidP="00080674">
            <w:pPr>
              <w:autoSpaceDE w:val="0"/>
              <w:autoSpaceDN w:val="0"/>
              <w:adjustRightInd w:val="0"/>
              <w:jc w:val="center"/>
              <w:rPr>
                <w:rFonts w:ascii="Calibri" w:eastAsia="Calibri" w:hAnsi="Calibri" w:cs="Calibri"/>
                <w:b/>
                <w:color w:val="984806" w:themeColor="accent6" w:themeShade="80"/>
                <w:sz w:val="8"/>
                <w:szCs w:val="8"/>
              </w:rPr>
            </w:pPr>
          </w:p>
        </w:tc>
      </w:tr>
      <w:tr w:rsidR="00BA5884" w:rsidRPr="00B6465D" w:rsidTr="00080674">
        <w:tc>
          <w:tcPr>
            <w:tcW w:w="5420" w:type="dxa"/>
            <w:vMerge/>
          </w:tcPr>
          <w:p w:rsidR="00BA5884" w:rsidRPr="00B6465D" w:rsidRDefault="00BA5884" w:rsidP="00080674">
            <w:pPr>
              <w:autoSpaceDE w:val="0"/>
              <w:autoSpaceDN w:val="0"/>
              <w:adjustRightInd w:val="0"/>
              <w:jc w:val="center"/>
              <w:rPr>
                <w:rFonts w:ascii="Calibri" w:eastAsia="Calibri" w:hAnsi="Calibri" w:cs="Calibri"/>
                <w:b/>
                <w:color w:val="984806" w:themeColor="accent6" w:themeShade="80"/>
                <w:sz w:val="22"/>
                <w:szCs w:val="22"/>
              </w:rPr>
            </w:pPr>
          </w:p>
        </w:tc>
        <w:tc>
          <w:tcPr>
            <w:tcW w:w="1101" w:type="dxa"/>
          </w:tcPr>
          <w:p w:rsidR="00BA5884" w:rsidRPr="00B6465D" w:rsidRDefault="00BA5884" w:rsidP="00080674">
            <w:pPr>
              <w:autoSpaceDE w:val="0"/>
              <w:autoSpaceDN w:val="0"/>
              <w:adjustRightInd w:val="0"/>
              <w:rPr>
                <w:rFonts w:ascii="Calibri" w:eastAsia="Calibri" w:hAnsi="Calibri" w:cs="Calibri"/>
                <w:b/>
                <w:color w:val="984806" w:themeColor="accent6" w:themeShade="80"/>
                <w:sz w:val="22"/>
                <w:szCs w:val="22"/>
              </w:rPr>
            </w:pPr>
            <w:r w:rsidRPr="00B6465D">
              <w:rPr>
                <w:rFonts w:ascii="Calibri" w:eastAsia="Calibri" w:hAnsi="Calibri" w:cs="Calibri"/>
                <w:b/>
                <w:color w:val="984806" w:themeColor="accent6" w:themeShade="80"/>
                <w:sz w:val="22"/>
                <w:szCs w:val="22"/>
              </w:rPr>
              <w:t>2011/12:</w:t>
            </w:r>
          </w:p>
        </w:tc>
        <w:tc>
          <w:tcPr>
            <w:tcW w:w="2613" w:type="dxa"/>
          </w:tcPr>
          <w:p w:rsidR="00BA5884" w:rsidRPr="00B6465D" w:rsidRDefault="00BA5884" w:rsidP="00080674">
            <w:pPr>
              <w:autoSpaceDE w:val="0"/>
              <w:autoSpaceDN w:val="0"/>
              <w:adjustRightInd w:val="0"/>
              <w:rPr>
                <w:rFonts w:ascii="Calibri" w:eastAsia="Calibri" w:hAnsi="Calibri" w:cs="Calibri"/>
                <w:b/>
                <w:color w:val="984806" w:themeColor="accent6" w:themeShade="80"/>
                <w:sz w:val="22"/>
                <w:szCs w:val="22"/>
              </w:rPr>
            </w:pPr>
            <w:r>
              <w:rPr>
                <w:b/>
                <w:noProof/>
                <w:sz w:val="32"/>
                <w:szCs w:val="32"/>
                <w:lang w:eastAsia="en-GB"/>
              </w:rPr>
              <w:drawing>
                <wp:inline distT="0" distB="0" distL="0" distR="0" wp14:anchorId="0944DB1B" wp14:editId="31964764">
                  <wp:extent cx="1085850" cy="338644"/>
                  <wp:effectExtent l="0" t="0" r="0" b="4445"/>
                  <wp:docPr id="88" name="Picture 88"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670AA8" w:rsidRDefault="00670AA8" w:rsidP="00A31762"/>
    <w:p w:rsidR="00697358" w:rsidRDefault="00697358"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697358">
        <w:rPr>
          <w:rFonts w:ascii="Calibri" w:eastAsia="Calibri" w:hAnsi="Calibri" w:cs="Times New Roman"/>
          <w:sz w:val="22"/>
          <w:szCs w:val="22"/>
        </w:rPr>
        <w:t xml:space="preserve">Core Strategy Policy CS25 requires each university to have no more than 3,000 full-time students living </w:t>
      </w:r>
      <w:r w:rsidR="006A07D9">
        <w:rPr>
          <w:rFonts w:ascii="Calibri" w:eastAsia="Calibri" w:hAnsi="Calibri" w:cs="Times New Roman"/>
          <w:sz w:val="22"/>
          <w:szCs w:val="22"/>
        </w:rPr>
        <w:t xml:space="preserve">in Oxford outside of university </w:t>
      </w:r>
      <w:r w:rsidRPr="00697358">
        <w:rPr>
          <w:rFonts w:ascii="Calibri" w:eastAsia="Calibri" w:hAnsi="Calibri" w:cs="Times New Roman"/>
          <w:sz w:val="22"/>
          <w:szCs w:val="22"/>
        </w:rPr>
        <w:t xml:space="preserve">provided accommodation.  The policy is intended to reduce the pressures from students on the private rental market.  To avoid worsening the situation, all increases in student numbers at the two universities should be matched by an equivalent increase in student accommodation.  All applications for new or redeveloped academic </w:t>
      </w:r>
      <w:proofErr w:type="spellStart"/>
      <w:r w:rsidRPr="00697358">
        <w:rPr>
          <w:rFonts w:ascii="Calibri" w:eastAsia="Calibri" w:hAnsi="Calibri" w:cs="Times New Roman"/>
          <w:sz w:val="22"/>
          <w:szCs w:val="22"/>
        </w:rPr>
        <w:t>floorspace</w:t>
      </w:r>
      <w:proofErr w:type="spellEnd"/>
      <w:r w:rsidRPr="00697358">
        <w:rPr>
          <w:rFonts w:ascii="Calibri" w:eastAsia="Calibri" w:hAnsi="Calibri" w:cs="Times New Roman"/>
          <w:sz w:val="22"/>
          <w:szCs w:val="22"/>
        </w:rPr>
        <w:t xml:space="preserve"> will be assessed in this light.</w:t>
      </w:r>
    </w:p>
    <w:p w:rsidR="00697358" w:rsidRDefault="00697358"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697358">
        <w:rPr>
          <w:rFonts w:ascii="Calibri" w:eastAsia="Calibri" w:hAnsi="Calibri" w:cs="Times New Roman"/>
          <w:sz w:val="22"/>
          <w:szCs w:val="22"/>
        </w:rPr>
        <w:t>The monitoring period that the universities use does not directly coincide with the period in the Annual Monitoring Report.  The City Council Annual Monitoring Report year follows the financial year and runs from April to March, whereas the universities use a period in order to com</w:t>
      </w:r>
      <w:r w:rsidR="00641947">
        <w:rPr>
          <w:rFonts w:ascii="Calibri" w:eastAsia="Calibri" w:hAnsi="Calibri" w:cs="Times New Roman"/>
          <w:sz w:val="22"/>
          <w:szCs w:val="22"/>
        </w:rPr>
        <w:t>plete their forms to government</w:t>
      </w:r>
      <w:r w:rsidRPr="00697358">
        <w:rPr>
          <w:rFonts w:ascii="Calibri" w:eastAsia="Calibri" w:hAnsi="Calibri" w:cs="Times New Roman"/>
          <w:sz w:val="22"/>
          <w:szCs w:val="22"/>
        </w:rPr>
        <w:t xml:space="preserve"> which is linked to the academic year.  The data used</w:t>
      </w:r>
      <w:r w:rsidR="00AE2D96">
        <w:rPr>
          <w:rFonts w:ascii="Calibri" w:eastAsia="Calibri" w:hAnsi="Calibri" w:cs="Times New Roman"/>
          <w:sz w:val="22"/>
          <w:szCs w:val="22"/>
        </w:rPr>
        <w:t xml:space="preserve"> to assess this indicator</w:t>
      </w:r>
      <w:r w:rsidRPr="00697358">
        <w:rPr>
          <w:rFonts w:ascii="Calibri" w:eastAsia="Calibri" w:hAnsi="Calibri" w:cs="Times New Roman"/>
          <w:sz w:val="22"/>
          <w:szCs w:val="22"/>
        </w:rPr>
        <w:t xml:space="preserve"> was submitted by the two universities as relevant to the monitoring year. </w:t>
      </w:r>
    </w:p>
    <w:p w:rsidR="00697358" w:rsidRPr="00697358" w:rsidRDefault="00697358"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697358">
        <w:rPr>
          <w:rFonts w:ascii="Calibri" w:eastAsia="Calibri" w:hAnsi="Calibri" w:cs="Times New Roman"/>
          <w:sz w:val="22"/>
          <w:szCs w:val="22"/>
        </w:rPr>
        <w:t xml:space="preserve">The Sites and Housing Plan contains a more detailed policy about the location of new student accommodation, building on the strategic policy in the Core Strategy. It recognises that it is important to locate student accommodation in a way that avoids great increases in activity along quieter residential streets.  The Sites and Housing Plan also seeks to address the issue that new student halls are often proposed on sites that would otherwise be developed for housing.  The adopted policy therefore sets out how accommodation proposals should contribute to affordable housing delivery.  </w:t>
      </w:r>
    </w:p>
    <w:p w:rsidR="00697358" w:rsidRPr="00697358" w:rsidRDefault="00697358" w:rsidP="00697358">
      <w:pPr>
        <w:autoSpaceDE w:val="0"/>
        <w:autoSpaceDN w:val="0"/>
        <w:adjustRightInd w:val="0"/>
        <w:spacing w:after="200" w:line="276" w:lineRule="auto"/>
        <w:jc w:val="both"/>
        <w:rPr>
          <w:rFonts w:ascii="Calibri" w:eastAsia="Calibri" w:hAnsi="Calibri" w:cs="Calibri"/>
          <w:b/>
          <w:color w:val="984806" w:themeColor="accent6" w:themeShade="80"/>
          <w:sz w:val="22"/>
          <w:szCs w:val="22"/>
        </w:rPr>
      </w:pPr>
      <w:r w:rsidRPr="00697358">
        <w:rPr>
          <w:rFonts w:ascii="Calibri" w:eastAsia="Calibri" w:hAnsi="Calibri" w:cs="Times New Roman"/>
          <w:b/>
          <w:color w:val="984806" w:themeColor="accent6" w:themeShade="80"/>
          <w:sz w:val="22"/>
          <w:szCs w:val="22"/>
        </w:rPr>
        <w:t>University of Oxford</w:t>
      </w:r>
    </w:p>
    <w:p w:rsidR="00697358" w:rsidRPr="00697358" w:rsidRDefault="00697358"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Times New Roman"/>
          <w:sz w:val="22"/>
          <w:szCs w:val="22"/>
        </w:rPr>
        <w:t>The University of Oxford states that there were 22,108 students attending the university as of 1 December 2013.</w:t>
      </w:r>
    </w:p>
    <w:p w:rsidR="00697358" w:rsidRPr="00697358" w:rsidRDefault="00697358" w:rsidP="004335B5">
      <w:pPr>
        <w:numPr>
          <w:ilvl w:val="1"/>
          <w:numId w:val="9"/>
        </w:numPr>
        <w:autoSpaceDE w:val="0"/>
        <w:autoSpaceDN w:val="0"/>
        <w:adjustRightInd w:val="0"/>
        <w:spacing w:line="276" w:lineRule="auto"/>
        <w:ind w:left="357" w:hanging="357"/>
        <w:jc w:val="both"/>
        <w:rPr>
          <w:rFonts w:ascii="Calibri" w:eastAsia="Calibri" w:hAnsi="Calibri" w:cs="Calibri"/>
          <w:sz w:val="22"/>
          <w:szCs w:val="22"/>
        </w:rPr>
      </w:pPr>
      <w:r>
        <w:rPr>
          <w:rFonts w:ascii="Calibri" w:eastAsia="Calibri" w:hAnsi="Calibri" w:cs="Times New Roman"/>
          <w:sz w:val="22"/>
          <w:szCs w:val="22"/>
        </w:rPr>
        <w:t>A number of agreed exclusions apply to the data:</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Pr>
          <w:rFonts w:ascii="Calibri" w:eastAsia="Calibri" w:hAnsi="Calibri" w:cs="Calibri"/>
          <w:sz w:val="22"/>
          <w:szCs w:val="22"/>
        </w:rPr>
        <w:t xml:space="preserve">Students with a term-time address outside of the city </w:t>
      </w:r>
      <w:r w:rsidR="003714EB">
        <w:rPr>
          <w:rFonts w:ascii="Calibri" w:eastAsia="Calibri" w:hAnsi="Calibri" w:cs="Calibri"/>
          <w:sz w:val="22"/>
          <w:szCs w:val="22"/>
        </w:rPr>
        <w:t>(347)</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 xml:space="preserve">Students living within the city </w:t>
      </w:r>
      <w:r w:rsidR="003714EB">
        <w:rPr>
          <w:rFonts w:ascii="Calibri" w:eastAsia="Calibri" w:hAnsi="Calibri" w:cs="Calibri"/>
          <w:sz w:val="22"/>
          <w:szCs w:val="22"/>
        </w:rPr>
        <w:t>prior to entry onto a course (323)</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 xml:space="preserve">Visiting students </w:t>
      </w:r>
      <w:r w:rsidR="003714EB">
        <w:rPr>
          <w:rFonts w:ascii="Calibri" w:eastAsia="Calibri" w:hAnsi="Calibri" w:cs="Calibri"/>
          <w:sz w:val="22"/>
          <w:szCs w:val="22"/>
        </w:rPr>
        <w:t xml:space="preserve">(494) </w:t>
      </w:r>
      <w:r w:rsidRPr="00697358">
        <w:rPr>
          <w:rFonts w:ascii="Calibri" w:eastAsia="Calibri" w:hAnsi="Calibri" w:cs="Calibri"/>
          <w:sz w:val="22"/>
          <w:szCs w:val="22"/>
        </w:rPr>
        <w:t>or those not attending the institution</w:t>
      </w:r>
      <w:r w:rsidR="003714EB">
        <w:rPr>
          <w:rFonts w:ascii="Calibri" w:eastAsia="Calibri" w:hAnsi="Calibri" w:cs="Calibri"/>
          <w:sz w:val="22"/>
          <w:szCs w:val="22"/>
        </w:rPr>
        <w:t xml:space="preserve"> (10)</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 xml:space="preserve">Part-time students </w:t>
      </w:r>
      <w:r w:rsidR="003714EB">
        <w:rPr>
          <w:rFonts w:ascii="Calibri" w:eastAsia="Calibri" w:hAnsi="Calibri" w:cs="Calibri"/>
          <w:sz w:val="22"/>
          <w:szCs w:val="22"/>
        </w:rPr>
        <w:t>(2,117)</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Postgraduate research students past year four of study or assumed to be writing up</w:t>
      </w:r>
      <w:r w:rsidR="003714EB">
        <w:rPr>
          <w:rFonts w:ascii="Calibri" w:eastAsia="Calibri" w:hAnsi="Calibri" w:cs="Calibri"/>
          <w:sz w:val="22"/>
          <w:szCs w:val="22"/>
        </w:rPr>
        <w:t xml:space="preserve"> (422)</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Students working full time for the NHS</w:t>
      </w:r>
      <w:r w:rsidR="003714EB">
        <w:rPr>
          <w:rFonts w:ascii="Calibri" w:eastAsia="Calibri" w:hAnsi="Calibri" w:cs="Calibri"/>
          <w:sz w:val="22"/>
          <w:szCs w:val="22"/>
        </w:rPr>
        <w:t xml:space="preserve"> (</w:t>
      </w:r>
      <w:proofErr w:type="spellStart"/>
      <w:r w:rsidR="003714EB">
        <w:rPr>
          <w:rFonts w:ascii="Calibri" w:eastAsia="Calibri" w:hAnsi="Calibri" w:cs="Calibri"/>
          <w:sz w:val="22"/>
          <w:szCs w:val="22"/>
        </w:rPr>
        <w:t>DClinPsyc</w:t>
      </w:r>
      <w:proofErr w:type="spellEnd"/>
      <w:r w:rsidR="003714EB">
        <w:rPr>
          <w:rFonts w:ascii="Calibri" w:eastAsia="Calibri" w:hAnsi="Calibri" w:cs="Calibri"/>
          <w:sz w:val="22"/>
          <w:szCs w:val="22"/>
        </w:rPr>
        <w:t xml:space="preserve"> Students)(45)</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 xml:space="preserve">Specific course exclusions (e.g. </w:t>
      </w:r>
      <w:proofErr w:type="spellStart"/>
      <w:r w:rsidRPr="00697358">
        <w:rPr>
          <w:rFonts w:ascii="Calibri" w:eastAsia="Calibri" w:hAnsi="Calibri" w:cs="Calibri"/>
          <w:sz w:val="22"/>
          <w:szCs w:val="22"/>
        </w:rPr>
        <w:t>BTh</w:t>
      </w:r>
      <w:proofErr w:type="spellEnd"/>
      <w:r w:rsidRPr="00697358">
        <w:rPr>
          <w:rFonts w:ascii="Calibri" w:eastAsia="Calibri" w:hAnsi="Calibri" w:cs="Calibri"/>
          <w:sz w:val="22"/>
          <w:szCs w:val="22"/>
        </w:rPr>
        <w:t xml:space="preserve"> Theology)</w:t>
      </w:r>
      <w:r w:rsidR="003714EB">
        <w:rPr>
          <w:rFonts w:ascii="Calibri" w:eastAsia="Calibri" w:hAnsi="Calibri" w:cs="Calibri"/>
          <w:sz w:val="22"/>
          <w:szCs w:val="22"/>
        </w:rPr>
        <w:t>(88)</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Students who are also members of staff</w:t>
      </w:r>
      <w:r w:rsidR="003714EB">
        <w:rPr>
          <w:rFonts w:ascii="Calibri" w:eastAsia="Calibri" w:hAnsi="Calibri" w:cs="Calibri"/>
          <w:sz w:val="22"/>
          <w:szCs w:val="22"/>
        </w:rPr>
        <w:t xml:space="preserve"> (241)</w:t>
      </w:r>
    </w:p>
    <w:p w:rsid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Students living with their parents</w:t>
      </w:r>
      <w:r w:rsidR="003714EB">
        <w:rPr>
          <w:rFonts w:ascii="Calibri" w:eastAsia="Calibri" w:hAnsi="Calibri" w:cs="Calibri"/>
          <w:sz w:val="22"/>
          <w:szCs w:val="22"/>
        </w:rPr>
        <w:t xml:space="preserve"> (100)</w:t>
      </w:r>
    </w:p>
    <w:p w:rsidR="00697358" w:rsidRPr="00697358" w:rsidRDefault="00697358" w:rsidP="004335B5">
      <w:pPr>
        <w:pStyle w:val="ListParagraph"/>
        <w:numPr>
          <w:ilvl w:val="0"/>
          <w:numId w:val="23"/>
        </w:numPr>
        <w:autoSpaceDE w:val="0"/>
        <w:autoSpaceDN w:val="0"/>
        <w:adjustRightInd w:val="0"/>
        <w:spacing w:after="200" w:line="276" w:lineRule="auto"/>
        <w:ind w:left="993" w:hanging="284"/>
        <w:jc w:val="both"/>
        <w:rPr>
          <w:rFonts w:ascii="Calibri" w:eastAsia="Calibri" w:hAnsi="Calibri" w:cs="Calibri"/>
          <w:sz w:val="22"/>
          <w:szCs w:val="22"/>
        </w:rPr>
      </w:pPr>
      <w:r w:rsidRPr="00697358">
        <w:rPr>
          <w:rFonts w:ascii="Calibri" w:eastAsia="Calibri" w:hAnsi="Calibri" w:cs="Calibri"/>
          <w:sz w:val="22"/>
          <w:szCs w:val="22"/>
        </w:rPr>
        <w:t>Students on a year abroad</w:t>
      </w:r>
      <w:r w:rsidR="003714EB">
        <w:rPr>
          <w:rFonts w:ascii="Calibri" w:eastAsia="Calibri" w:hAnsi="Calibri" w:cs="Calibri"/>
          <w:sz w:val="22"/>
          <w:szCs w:val="22"/>
        </w:rPr>
        <w:t xml:space="preserve"> (332)</w:t>
      </w:r>
    </w:p>
    <w:p w:rsidR="00D86291" w:rsidRDefault="00DE64D9"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96832" behindDoc="0" locked="0" layoutInCell="1" allowOverlap="1" wp14:anchorId="6D3DA416" wp14:editId="70CCDB3F">
                <wp:simplePos x="0" y="0"/>
                <wp:positionH relativeFrom="column">
                  <wp:posOffset>3485515</wp:posOffset>
                </wp:positionH>
                <wp:positionV relativeFrom="paragraph">
                  <wp:posOffset>-598170</wp:posOffset>
                </wp:positionV>
                <wp:extent cx="2427605" cy="352425"/>
                <wp:effectExtent l="0" t="0" r="0" b="9525"/>
                <wp:wrapNone/>
                <wp:docPr id="242" name="Text Box 24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DE64D9">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2" o:spid="_x0000_s1058" type="#_x0000_t202" style="position:absolute;left:0;text-align:left;margin-left:274.45pt;margin-top:-47.1pt;width:191.15pt;height:27.7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3ZUgIAAKQ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" fillcolor="window" stroked="f" strokeweight=".5pt">
                <v:textbox>
                  <w:txbxContent>
                    <w:p w:rsidR="000D3CFF" w:rsidRPr="00280EB5" w:rsidRDefault="000D3CFF" w:rsidP="00DE64D9">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D86291">
        <w:rPr>
          <w:rFonts w:ascii="Calibri" w:eastAsia="Calibri" w:hAnsi="Calibri" w:cs="Calibri"/>
          <w:sz w:val="22"/>
          <w:szCs w:val="22"/>
        </w:rPr>
        <w:t>This leaves 17,589</w:t>
      </w:r>
      <w:r w:rsidR="00D86291" w:rsidRPr="00D86291">
        <w:rPr>
          <w:rFonts w:ascii="Calibri" w:eastAsia="Calibri" w:hAnsi="Calibri" w:cs="Calibri"/>
          <w:sz w:val="22"/>
          <w:szCs w:val="22"/>
        </w:rPr>
        <w:t xml:space="preserve"> full-time students with accommodation requirements.  At 1</w:t>
      </w:r>
      <w:r w:rsidR="00D86291">
        <w:rPr>
          <w:rFonts w:ascii="Calibri" w:eastAsia="Calibri" w:hAnsi="Calibri" w:cs="Calibri"/>
          <w:sz w:val="22"/>
          <w:szCs w:val="22"/>
        </w:rPr>
        <w:t xml:space="preserve"> December 2013 there were 14,569</w:t>
      </w:r>
      <w:r w:rsidR="00D86291" w:rsidRPr="00D86291">
        <w:rPr>
          <w:rFonts w:ascii="Calibri" w:eastAsia="Calibri" w:hAnsi="Calibri" w:cs="Calibri"/>
          <w:sz w:val="22"/>
          <w:szCs w:val="22"/>
        </w:rPr>
        <w:t xml:space="preserve"> accommodation places provided</w:t>
      </w:r>
      <w:r w:rsidR="00953307">
        <w:rPr>
          <w:rFonts w:ascii="Calibri" w:eastAsia="Calibri" w:hAnsi="Calibri" w:cs="Calibri"/>
          <w:sz w:val="22"/>
          <w:szCs w:val="22"/>
        </w:rPr>
        <w:t xml:space="preserve"> by the university</w:t>
      </w:r>
      <w:r w:rsidR="00D86291" w:rsidRPr="00D86291">
        <w:rPr>
          <w:rFonts w:ascii="Calibri" w:eastAsia="Calibri" w:hAnsi="Calibri" w:cs="Calibri"/>
          <w:sz w:val="22"/>
          <w:szCs w:val="22"/>
        </w:rPr>
        <w:t xml:space="preserve"> across the city.  This leaves a total of 3,</w:t>
      </w:r>
      <w:r w:rsidR="00D86291">
        <w:rPr>
          <w:rFonts w:ascii="Calibri" w:eastAsia="Calibri" w:hAnsi="Calibri" w:cs="Calibri"/>
          <w:sz w:val="22"/>
          <w:szCs w:val="22"/>
        </w:rPr>
        <w:t xml:space="preserve">020 students </w:t>
      </w:r>
      <w:r w:rsidR="00953307">
        <w:rPr>
          <w:rFonts w:ascii="Calibri" w:eastAsia="Calibri" w:hAnsi="Calibri" w:cs="Calibri"/>
          <w:sz w:val="22"/>
          <w:szCs w:val="22"/>
        </w:rPr>
        <w:t>living outside of university provided accommodation</w:t>
      </w:r>
      <w:r w:rsidR="009F51AA">
        <w:rPr>
          <w:rFonts w:ascii="Calibri" w:eastAsia="Calibri" w:hAnsi="Calibri" w:cs="Calibri"/>
          <w:sz w:val="22"/>
          <w:szCs w:val="22"/>
        </w:rPr>
        <w:t xml:space="preserve">, </w:t>
      </w:r>
      <w:r w:rsidR="00954544">
        <w:rPr>
          <w:rFonts w:ascii="Calibri" w:eastAsia="Calibri" w:hAnsi="Calibri" w:cs="Calibri"/>
          <w:sz w:val="22"/>
          <w:szCs w:val="22"/>
        </w:rPr>
        <w:t>marginally</w:t>
      </w:r>
      <w:r w:rsidR="009F51AA">
        <w:rPr>
          <w:rFonts w:ascii="Calibri" w:eastAsia="Calibri" w:hAnsi="Calibri" w:cs="Calibri"/>
          <w:sz w:val="22"/>
          <w:szCs w:val="22"/>
        </w:rPr>
        <w:t xml:space="preserve"> above the Core Strategy target.</w:t>
      </w:r>
      <w:r w:rsidR="00953307">
        <w:rPr>
          <w:rFonts w:ascii="Calibri" w:eastAsia="Calibri" w:hAnsi="Calibri" w:cs="Calibri"/>
          <w:sz w:val="22"/>
          <w:szCs w:val="22"/>
        </w:rPr>
        <w:t xml:space="preserve"> </w:t>
      </w:r>
    </w:p>
    <w:p w:rsidR="00D86291" w:rsidRPr="00D86291" w:rsidRDefault="009F51AA" w:rsidP="00953307">
      <w:pPr>
        <w:autoSpaceDE w:val="0"/>
        <w:autoSpaceDN w:val="0"/>
        <w:adjustRightInd w:val="0"/>
        <w:spacing w:after="200" w:line="276" w:lineRule="auto"/>
        <w:rPr>
          <w:rFonts w:ascii="Calibri" w:eastAsia="Calibri" w:hAnsi="Calibri" w:cs="Calibri"/>
          <w:sz w:val="22"/>
          <w:szCs w:val="22"/>
        </w:rPr>
      </w:pPr>
      <w:r>
        <w:rPr>
          <w:rFonts w:ascii="Calibri" w:eastAsia="Calibri" w:hAnsi="Calibri" w:cs="Calibri"/>
          <w:noProof/>
          <w:sz w:val="22"/>
          <w:szCs w:val="22"/>
          <w:lang w:eastAsia="en-GB"/>
        </w:rPr>
        <mc:AlternateContent>
          <mc:Choice Requires="wps">
            <w:drawing>
              <wp:anchor distT="0" distB="0" distL="114300" distR="114300" simplePos="0" relativeHeight="251881471" behindDoc="0" locked="0" layoutInCell="1" allowOverlap="1" wp14:anchorId="7E03F871" wp14:editId="795F114A">
                <wp:simplePos x="0" y="0"/>
                <wp:positionH relativeFrom="column">
                  <wp:posOffset>5599430</wp:posOffset>
                </wp:positionH>
                <wp:positionV relativeFrom="paragraph">
                  <wp:posOffset>650875</wp:posOffset>
                </wp:positionV>
                <wp:extent cx="581025" cy="242570"/>
                <wp:effectExtent l="0" t="0" r="9525" b="5080"/>
                <wp:wrapNone/>
                <wp:docPr id="229" name="Text Box 229"/>
                <wp:cNvGraphicFramePr/>
                <a:graphic xmlns:a="http://schemas.openxmlformats.org/drawingml/2006/main">
                  <a:graphicData uri="http://schemas.microsoft.com/office/word/2010/wordprocessingShape">
                    <wps:wsp>
                      <wps:cNvSpPr txBox="1"/>
                      <wps:spPr>
                        <a:xfrm>
                          <a:off x="0" y="0"/>
                          <a:ext cx="581025"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CFF" w:rsidRPr="001F4E9A" w:rsidRDefault="000D3CFF" w:rsidP="00275B23">
                            <w:pPr>
                              <w:ind w:left="-142"/>
                              <w:rPr>
                                <w:color w:val="E36C0A" w:themeColor="accent6" w:themeShade="BF"/>
                                <w:sz w:val="18"/>
                              </w:rPr>
                            </w:pPr>
                            <w:r>
                              <w:rPr>
                                <w:color w:val="E36C0A" w:themeColor="accent6" w:themeShade="BF"/>
                                <w:sz w:val="18"/>
                              </w:rPr>
                              <w:t>T</w:t>
                            </w:r>
                            <w:r w:rsidRPr="001F4E9A">
                              <w:rPr>
                                <w:color w:val="E36C0A" w:themeColor="accent6" w:themeShade="BF"/>
                                <w:sz w:val="18"/>
                              </w:rPr>
                              <w: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59" type="#_x0000_t202" style="position:absolute;margin-left:440.9pt;margin-top:51.25pt;width:45.75pt;height:19.1pt;z-index:251881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" fillcolor="white [3201]" stroked="f" strokeweight=".5pt">
                <v:textbox>
                  <w:txbxContent>
                    <w:p w:rsidR="000D3CFF" w:rsidRPr="001F4E9A" w:rsidRDefault="000D3CFF" w:rsidP="00275B23">
                      <w:pPr>
                        <w:ind w:left="-142"/>
                        <w:rPr>
                          <w:color w:val="E36C0A" w:themeColor="accent6" w:themeShade="BF"/>
                          <w:sz w:val="18"/>
                        </w:rPr>
                      </w:pPr>
                      <w:r>
                        <w:rPr>
                          <w:color w:val="E36C0A" w:themeColor="accent6" w:themeShade="BF"/>
                          <w:sz w:val="18"/>
                        </w:rPr>
                        <w:t>T</w:t>
                      </w:r>
                      <w:r w:rsidRPr="001F4E9A">
                        <w:rPr>
                          <w:color w:val="E36C0A" w:themeColor="accent6" w:themeShade="BF"/>
                          <w:sz w:val="18"/>
                        </w:rPr>
                        <w:t>arget</w:t>
                      </w:r>
                    </w:p>
                  </w:txbxContent>
                </v:textbox>
              </v:shape>
            </w:pict>
          </mc:Fallback>
        </mc:AlternateContent>
      </w:r>
      <w:r>
        <w:rPr>
          <w:rFonts w:ascii="Calibri" w:eastAsia="Calibri" w:hAnsi="Calibri" w:cs="Calibri"/>
          <w:noProof/>
          <w:sz w:val="22"/>
          <w:szCs w:val="22"/>
          <w:lang w:eastAsia="en-GB"/>
        </w:rPr>
        <mc:AlternateContent>
          <mc:Choice Requires="wps">
            <w:drawing>
              <wp:anchor distT="0" distB="0" distL="114300" distR="114300" simplePos="0" relativeHeight="251883520" behindDoc="0" locked="0" layoutInCell="1" allowOverlap="1" wp14:anchorId="4F274908" wp14:editId="31298934">
                <wp:simplePos x="0" y="0"/>
                <wp:positionH relativeFrom="column">
                  <wp:posOffset>1019175</wp:posOffset>
                </wp:positionH>
                <wp:positionV relativeFrom="paragraph">
                  <wp:posOffset>3064510</wp:posOffset>
                </wp:positionV>
                <wp:extent cx="4471670" cy="447675"/>
                <wp:effectExtent l="0" t="0" r="5080" b="9525"/>
                <wp:wrapNone/>
                <wp:docPr id="230" name="Text Box 230"/>
                <wp:cNvGraphicFramePr/>
                <a:graphic xmlns:a="http://schemas.openxmlformats.org/drawingml/2006/main">
                  <a:graphicData uri="http://schemas.microsoft.com/office/word/2010/wordprocessingShape">
                    <wps:wsp>
                      <wps:cNvSpPr txBox="1"/>
                      <wps:spPr>
                        <a:xfrm>
                          <a:off x="0" y="0"/>
                          <a:ext cx="447167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CFF" w:rsidRDefault="000D3CFF" w:rsidP="00DE08D2">
                            <w:pPr>
                              <w:jc w:val="center"/>
                              <w:rPr>
                                <w:rFonts w:ascii="Calibri" w:eastAsia="Calibri" w:hAnsi="Calibri" w:cs="Times New Roman"/>
                                <w:sz w:val="20"/>
                                <w:szCs w:val="22"/>
                              </w:rPr>
                            </w:pPr>
                            <w:r>
                              <w:rPr>
                                <w:rFonts w:ascii="Calibri" w:eastAsia="Calibri" w:hAnsi="Calibri" w:cs="Times New Roman"/>
                                <w:b/>
                                <w:sz w:val="20"/>
                                <w:szCs w:val="22"/>
                              </w:rPr>
                              <w:t>Figure 18:</w:t>
                            </w:r>
                            <w:r>
                              <w:rPr>
                                <w:rFonts w:ascii="Calibri" w:eastAsia="Calibri" w:hAnsi="Calibri" w:cs="Times New Roman"/>
                                <w:sz w:val="20"/>
                                <w:szCs w:val="22"/>
                              </w:rPr>
                              <w:t xml:space="preserve"> Number of Oxford University students living outside of university </w:t>
                            </w:r>
                            <w:proofErr w:type="gramStart"/>
                            <w:r>
                              <w:rPr>
                                <w:rFonts w:ascii="Calibri" w:eastAsia="Calibri" w:hAnsi="Calibri" w:cs="Times New Roman"/>
                                <w:sz w:val="20"/>
                                <w:szCs w:val="22"/>
                              </w:rPr>
                              <w:t>provided  accommodation</w:t>
                            </w:r>
                            <w:proofErr w:type="gramEnd"/>
                            <w:r>
                              <w:rPr>
                                <w:rFonts w:ascii="Calibri" w:eastAsia="Calibri" w:hAnsi="Calibri" w:cs="Times New Roman"/>
                                <w:sz w:val="20"/>
                                <w:szCs w:val="22"/>
                              </w:rPr>
                              <w:t xml:space="preserve"> in recent monitoring years</w:t>
                            </w:r>
                          </w:p>
                          <w:p w:rsidR="000D3CFF" w:rsidRDefault="000D3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60" type="#_x0000_t202" style="position:absolute;margin-left:80.25pt;margin-top:241.3pt;width:352.1pt;height:3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" fillcolor="white [3201]" stroked="f" strokeweight=".5pt">
                <v:textbox>
                  <w:txbxContent>
                    <w:p w:rsidR="000D3CFF" w:rsidRDefault="000D3CFF" w:rsidP="00DE08D2">
                      <w:pPr>
                        <w:jc w:val="center"/>
                        <w:rPr>
                          <w:rFonts w:ascii="Calibri" w:eastAsia="Calibri" w:hAnsi="Calibri" w:cs="Times New Roman"/>
                          <w:sz w:val="20"/>
                          <w:szCs w:val="22"/>
                        </w:rPr>
                      </w:pPr>
                      <w:r>
                        <w:rPr>
                          <w:rFonts w:ascii="Calibri" w:eastAsia="Calibri" w:hAnsi="Calibri" w:cs="Times New Roman"/>
                          <w:b/>
                          <w:sz w:val="20"/>
                          <w:szCs w:val="22"/>
                        </w:rPr>
                        <w:t>Figure 18:</w:t>
                      </w:r>
                      <w:r>
                        <w:rPr>
                          <w:rFonts w:ascii="Calibri" w:eastAsia="Calibri" w:hAnsi="Calibri" w:cs="Times New Roman"/>
                          <w:sz w:val="20"/>
                          <w:szCs w:val="22"/>
                        </w:rPr>
                        <w:t xml:space="preserve"> Number of Oxford University students living outside of university provided  accommodation in recent monitoring years</w:t>
                      </w:r>
                    </w:p>
                    <w:p w:rsidR="000D3CFF" w:rsidRDefault="000D3CFF"/>
                  </w:txbxContent>
                </v:textbox>
              </v:shape>
            </w:pict>
          </mc:Fallback>
        </mc:AlternateContent>
      </w:r>
      <w:r w:rsidR="00953307">
        <w:rPr>
          <w:noProof/>
          <w:lang w:eastAsia="en-GB"/>
        </w:rPr>
        <w:drawing>
          <wp:inline distT="0" distB="0" distL="0" distR="0" wp14:anchorId="21816CCE" wp14:editId="7D37D74D">
            <wp:extent cx="5734050" cy="3209925"/>
            <wp:effectExtent l="0" t="0" r="0" b="0"/>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51AA" w:rsidRDefault="009F51AA" w:rsidP="009F51AA">
      <w:pPr>
        <w:autoSpaceDE w:val="0"/>
        <w:autoSpaceDN w:val="0"/>
        <w:adjustRightInd w:val="0"/>
        <w:spacing w:after="200" w:line="276" w:lineRule="auto"/>
        <w:ind w:left="360"/>
        <w:jc w:val="center"/>
        <w:rPr>
          <w:rFonts w:ascii="Calibri" w:eastAsia="Calibri" w:hAnsi="Calibri" w:cs="Calibri"/>
          <w:sz w:val="22"/>
          <w:szCs w:val="22"/>
        </w:rPr>
      </w:pPr>
    </w:p>
    <w:p w:rsidR="00697358"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18</w:t>
      </w:r>
      <w:r w:rsidR="009F51AA">
        <w:rPr>
          <w:rFonts w:ascii="Calibri" w:eastAsia="Calibri" w:hAnsi="Calibri" w:cs="Calibri"/>
          <w:sz w:val="22"/>
          <w:szCs w:val="22"/>
        </w:rPr>
        <w:t xml:space="preserve"> shows that the number of students living outside of university accommodation is </w:t>
      </w:r>
      <w:r w:rsidR="000D7FA1">
        <w:rPr>
          <w:rFonts w:ascii="Calibri" w:eastAsia="Calibri" w:hAnsi="Calibri" w:cs="Calibri"/>
          <w:sz w:val="22"/>
          <w:szCs w:val="22"/>
        </w:rPr>
        <w:t>significantly lower than in previous monitoring years. The University of Oxford state that there were 537 additional accommodation places available in 2013 compared to the same point in 2012.  At 1 December 2013 there were also 209 accommodation units under con</w:t>
      </w:r>
      <w:r w:rsidR="003E7829">
        <w:rPr>
          <w:rFonts w:ascii="Calibri" w:eastAsia="Calibri" w:hAnsi="Calibri" w:cs="Calibri"/>
          <w:sz w:val="22"/>
          <w:szCs w:val="22"/>
        </w:rPr>
        <w:t>struction and the University h</w:t>
      </w:r>
      <w:r w:rsidR="005A4BBF">
        <w:rPr>
          <w:rFonts w:ascii="Calibri" w:eastAsia="Calibri" w:hAnsi="Calibri" w:cs="Calibri"/>
          <w:sz w:val="22"/>
          <w:szCs w:val="22"/>
        </w:rPr>
        <w:t>olds</w:t>
      </w:r>
      <w:r w:rsidR="000D7FA1">
        <w:rPr>
          <w:rFonts w:ascii="Calibri" w:eastAsia="Calibri" w:hAnsi="Calibri" w:cs="Calibri"/>
          <w:sz w:val="22"/>
          <w:szCs w:val="22"/>
        </w:rPr>
        <w:t xml:space="preserve"> planning permiss</w:t>
      </w:r>
      <w:r w:rsidR="005A4BBF">
        <w:rPr>
          <w:rFonts w:ascii="Calibri" w:eastAsia="Calibri" w:hAnsi="Calibri" w:cs="Calibri"/>
          <w:sz w:val="22"/>
          <w:szCs w:val="22"/>
        </w:rPr>
        <w:t>ion for another 418 units. The U</w:t>
      </w:r>
      <w:r w:rsidR="000D7FA1">
        <w:rPr>
          <w:rFonts w:ascii="Calibri" w:eastAsia="Calibri" w:hAnsi="Calibri" w:cs="Calibri"/>
          <w:sz w:val="22"/>
          <w:szCs w:val="22"/>
        </w:rPr>
        <w:t>niversity is therefore expected to meet this requirement in the next monitoring year.</w:t>
      </w:r>
    </w:p>
    <w:p w:rsidR="00F7639A" w:rsidRPr="00F7639A" w:rsidRDefault="00F7639A" w:rsidP="00F7639A">
      <w:pPr>
        <w:autoSpaceDE w:val="0"/>
        <w:autoSpaceDN w:val="0"/>
        <w:adjustRightInd w:val="0"/>
        <w:spacing w:after="200" w:line="276" w:lineRule="auto"/>
        <w:jc w:val="both"/>
        <w:rPr>
          <w:rFonts w:ascii="Calibri" w:eastAsia="Calibri" w:hAnsi="Calibri" w:cs="Calibri"/>
          <w:b/>
          <w:color w:val="984806" w:themeColor="accent6" w:themeShade="80"/>
          <w:sz w:val="22"/>
          <w:szCs w:val="22"/>
        </w:rPr>
      </w:pPr>
      <w:r w:rsidRPr="00F7639A">
        <w:rPr>
          <w:rFonts w:ascii="Calibri" w:eastAsia="Calibri" w:hAnsi="Calibri" w:cs="Calibri"/>
          <w:b/>
          <w:color w:val="984806" w:themeColor="accent6" w:themeShade="80"/>
          <w:sz w:val="22"/>
          <w:szCs w:val="22"/>
        </w:rPr>
        <w:t>Oxford Brookes University</w:t>
      </w:r>
    </w:p>
    <w:p w:rsidR="00DE08D2" w:rsidRDefault="00DE08D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DE08D2">
        <w:rPr>
          <w:rFonts w:ascii="Calibri" w:eastAsia="Calibri" w:hAnsi="Calibri" w:cs="Calibri"/>
          <w:sz w:val="22"/>
          <w:szCs w:val="22"/>
        </w:rPr>
        <w:t>Oxford Brookes University state</w:t>
      </w:r>
      <w:r>
        <w:rPr>
          <w:rFonts w:ascii="Calibri" w:eastAsia="Calibri" w:hAnsi="Calibri" w:cs="Calibri"/>
          <w:sz w:val="22"/>
          <w:szCs w:val="22"/>
        </w:rPr>
        <w:t>s</w:t>
      </w:r>
      <w:r w:rsidRPr="00DE08D2">
        <w:rPr>
          <w:rFonts w:ascii="Calibri" w:eastAsia="Calibri" w:hAnsi="Calibri" w:cs="Calibri"/>
          <w:sz w:val="22"/>
          <w:szCs w:val="22"/>
        </w:rPr>
        <w:t xml:space="preserve"> t</w:t>
      </w:r>
      <w:r>
        <w:rPr>
          <w:rFonts w:ascii="Calibri" w:eastAsia="Calibri" w:hAnsi="Calibri" w:cs="Calibri"/>
          <w:sz w:val="22"/>
          <w:szCs w:val="22"/>
        </w:rPr>
        <w:t xml:space="preserve">hat there were a total of </w:t>
      </w:r>
      <w:r w:rsidR="00F23923">
        <w:rPr>
          <w:rFonts w:ascii="Calibri" w:eastAsia="Calibri" w:hAnsi="Calibri" w:cs="Calibri"/>
          <w:sz w:val="22"/>
          <w:szCs w:val="22"/>
        </w:rPr>
        <w:t>17,053</w:t>
      </w:r>
      <w:r w:rsidRPr="00DE08D2">
        <w:rPr>
          <w:rFonts w:ascii="Calibri" w:eastAsia="Calibri" w:hAnsi="Calibri" w:cs="Calibri"/>
          <w:sz w:val="22"/>
          <w:szCs w:val="22"/>
        </w:rPr>
        <w:t xml:space="preserve"> students attending</w:t>
      </w:r>
      <w:r>
        <w:rPr>
          <w:rFonts w:ascii="Calibri" w:eastAsia="Calibri" w:hAnsi="Calibri" w:cs="Calibri"/>
          <w:sz w:val="22"/>
          <w:szCs w:val="22"/>
        </w:rPr>
        <w:t xml:space="preserve"> the university </w:t>
      </w:r>
      <w:r w:rsidR="00F23923">
        <w:rPr>
          <w:rFonts w:ascii="Calibri" w:eastAsia="Calibri" w:hAnsi="Calibri" w:cs="Calibri"/>
          <w:sz w:val="22"/>
          <w:szCs w:val="22"/>
        </w:rPr>
        <w:t>as of 1 December 2013.</w:t>
      </w:r>
      <w:r w:rsidRPr="00DE08D2">
        <w:rPr>
          <w:rFonts w:ascii="Calibri" w:eastAsia="Calibri" w:hAnsi="Calibri" w:cs="Calibri"/>
          <w:sz w:val="22"/>
          <w:szCs w:val="22"/>
        </w:rPr>
        <w:t xml:space="preserve"> </w:t>
      </w:r>
    </w:p>
    <w:p w:rsidR="00DE08D2" w:rsidRPr="00697358" w:rsidRDefault="00DE08D2" w:rsidP="004335B5">
      <w:pPr>
        <w:numPr>
          <w:ilvl w:val="1"/>
          <w:numId w:val="9"/>
        </w:numPr>
        <w:autoSpaceDE w:val="0"/>
        <w:autoSpaceDN w:val="0"/>
        <w:adjustRightInd w:val="0"/>
        <w:spacing w:line="276" w:lineRule="auto"/>
        <w:ind w:left="357" w:hanging="357"/>
        <w:jc w:val="both"/>
        <w:rPr>
          <w:rFonts w:ascii="Calibri" w:eastAsia="Calibri" w:hAnsi="Calibri" w:cs="Calibri"/>
          <w:sz w:val="22"/>
          <w:szCs w:val="22"/>
        </w:rPr>
      </w:pPr>
      <w:r>
        <w:rPr>
          <w:rFonts w:ascii="Calibri" w:eastAsia="Calibri" w:hAnsi="Calibri" w:cs="Times New Roman"/>
          <w:sz w:val="22"/>
          <w:szCs w:val="22"/>
        </w:rPr>
        <w:t xml:space="preserve">A number of agreed exclusions apply to the data: </w:t>
      </w:r>
    </w:p>
    <w:p w:rsidR="00DE08D2" w:rsidRPr="00F23923" w:rsidRDefault="00DE08D2" w:rsidP="004335B5">
      <w:pPr>
        <w:pStyle w:val="ListParagraph"/>
        <w:numPr>
          <w:ilvl w:val="0"/>
          <w:numId w:val="24"/>
        </w:numPr>
        <w:autoSpaceDE w:val="0"/>
        <w:autoSpaceDN w:val="0"/>
        <w:adjustRightInd w:val="0"/>
        <w:spacing w:after="200" w:line="276" w:lineRule="auto"/>
        <w:ind w:left="851"/>
        <w:jc w:val="both"/>
        <w:rPr>
          <w:rFonts w:ascii="Calibri" w:eastAsia="Calibri" w:hAnsi="Calibri" w:cs="Calibri"/>
          <w:sz w:val="22"/>
          <w:szCs w:val="22"/>
        </w:rPr>
      </w:pPr>
      <w:r>
        <w:rPr>
          <w:rFonts w:ascii="Calibri" w:eastAsia="Calibri" w:hAnsi="Calibri" w:cs="Calibri"/>
          <w:sz w:val="22"/>
          <w:szCs w:val="22"/>
        </w:rPr>
        <w:t>Stude</w:t>
      </w:r>
      <w:r w:rsidR="00F23923">
        <w:rPr>
          <w:rFonts w:ascii="Calibri" w:eastAsia="Calibri" w:hAnsi="Calibri" w:cs="Calibri"/>
          <w:sz w:val="22"/>
          <w:szCs w:val="22"/>
        </w:rPr>
        <w:t xml:space="preserve">nts living outside Oxford or </w:t>
      </w:r>
      <w:r w:rsidRPr="00F23923">
        <w:rPr>
          <w:rFonts w:ascii="Calibri" w:eastAsia="Calibri" w:hAnsi="Calibri" w:cs="Calibri"/>
          <w:sz w:val="22"/>
          <w:szCs w:val="22"/>
        </w:rPr>
        <w:t>living within the city prior to entry onto a course (</w:t>
      </w:r>
      <w:r w:rsidR="00F23923">
        <w:rPr>
          <w:rFonts w:ascii="Calibri" w:eastAsia="Calibri" w:hAnsi="Calibri" w:cs="Calibri"/>
          <w:sz w:val="22"/>
          <w:szCs w:val="22"/>
        </w:rPr>
        <w:t>3,519</w:t>
      </w:r>
      <w:r w:rsidRPr="00F23923">
        <w:rPr>
          <w:rFonts w:ascii="Calibri" w:eastAsia="Calibri" w:hAnsi="Calibri" w:cs="Calibri"/>
          <w:sz w:val="22"/>
          <w:szCs w:val="22"/>
        </w:rPr>
        <w:t>)</w:t>
      </w:r>
    </w:p>
    <w:p w:rsidR="00DE08D2" w:rsidRDefault="00DE08D2" w:rsidP="004335B5">
      <w:pPr>
        <w:pStyle w:val="ListParagraph"/>
        <w:numPr>
          <w:ilvl w:val="0"/>
          <w:numId w:val="24"/>
        </w:numPr>
        <w:autoSpaceDE w:val="0"/>
        <w:autoSpaceDN w:val="0"/>
        <w:adjustRightInd w:val="0"/>
        <w:spacing w:after="200" w:line="276" w:lineRule="auto"/>
        <w:ind w:left="851"/>
        <w:jc w:val="both"/>
        <w:rPr>
          <w:rFonts w:ascii="Calibri" w:eastAsia="Calibri" w:hAnsi="Calibri" w:cs="Calibri"/>
          <w:sz w:val="22"/>
          <w:szCs w:val="22"/>
        </w:rPr>
      </w:pPr>
      <w:r>
        <w:rPr>
          <w:rFonts w:ascii="Calibri" w:eastAsia="Calibri" w:hAnsi="Calibri" w:cs="Calibri"/>
          <w:sz w:val="22"/>
          <w:szCs w:val="22"/>
        </w:rPr>
        <w:t>Part-time students (</w:t>
      </w:r>
      <w:r w:rsidR="00F23923">
        <w:rPr>
          <w:rFonts w:ascii="Calibri" w:eastAsia="Calibri" w:hAnsi="Calibri" w:cs="Calibri"/>
          <w:sz w:val="22"/>
          <w:szCs w:val="22"/>
        </w:rPr>
        <w:t>2,676</w:t>
      </w:r>
      <w:r>
        <w:rPr>
          <w:rFonts w:ascii="Calibri" w:eastAsia="Calibri" w:hAnsi="Calibri" w:cs="Calibri"/>
          <w:sz w:val="22"/>
          <w:szCs w:val="22"/>
        </w:rPr>
        <w:t>)</w:t>
      </w:r>
    </w:p>
    <w:p w:rsidR="00DE08D2" w:rsidRDefault="00DE08D2" w:rsidP="004335B5">
      <w:pPr>
        <w:pStyle w:val="ListParagraph"/>
        <w:numPr>
          <w:ilvl w:val="0"/>
          <w:numId w:val="24"/>
        </w:numPr>
        <w:autoSpaceDE w:val="0"/>
        <w:autoSpaceDN w:val="0"/>
        <w:adjustRightInd w:val="0"/>
        <w:spacing w:after="200" w:line="276" w:lineRule="auto"/>
        <w:ind w:left="851"/>
        <w:jc w:val="both"/>
        <w:rPr>
          <w:rFonts w:ascii="Calibri" w:eastAsia="Calibri" w:hAnsi="Calibri" w:cs="Calibri"/>
          <w:sz w:val="22"/>
          <w:szCs w:val="22"/>
        </w:rPr>
      </w:pPr>
      <w:r w:rsidRPr="00DE08D2">
        <w:rPr>
          <w:rFonts w:ascii="Calibri" w:eastAsia="Calibri" w:hAnsi="Calibri" w:cs="Calibri"/>
          <w:sz w:val="22"/>
          <w:szCs w:val="22"/>
        </w:rPr>
        <w:t>Students studying at franchise institutions</w:t>
      </w:r>
      <w:r>
        <w:rPr>
          <w:rFonts w:ascii="Calibri" w:eastAsia="Calibri" w:hAnsi="Calibri" w:cs="Calibri"/>
          <w:sz w:val="22"/>
          <w:szCs w:val="22"/>
        </w:rPr>
        <w:t xml:space="preserve"> (</w:t>
      </w:r>
      <w:r w:rsidR="00F23923">
        <w:rPr>
          <w:rFonts w:ascii="Calibri" w:eastAsia="Calibri" w:hAnsi="Calibri" w:cs="Calibri"/>
          <w:sz w:val="22"/>
          <w:szCs w:val="22"/>
        </w:rPr>
        <w:t>1,896</w:t>
      </w:r>
      <w:r>
        <w:rPr>
          <w:rFonts w:ascii="Calibri" w:eastAsia="Calibri" w:hAnsi="Calibri" w:cs="Calibri"/>
          <w:sz w:val="22"/>
          <w:szCs w:val="22"/>
        </w:rPr>
        <w:t>)</w:t>
      </w:r>
    </w:p>
    <w:p w:rsidR="00DE08D2" w:rsidRDefault="00DE08D2" w:rsidP="004335B5">
      <w:pPr>
        <w:pStyle w:val="ListParagraph"/>
        <w:numPr>
          <w:ilvl w:val="0"/>
          <w:numId w:val="24"/>
        </w:numPr>
        <w:autoSpaceDE w:val="0"/>
        <w:autoSpaceDN w:val="0"/>
        <w:adjustRightInd w:val="0"/>
        <w:spacing w:after="200" w:line="276" w:lineRule="auto"/>
        <w:ind w:left="851"/>
        <w:jc w:val="both"/>
        <w:rPr>
          <w:rFonts w:ascii="Calibri" w:eastAsia="Calibri" w:hAnsi="Calibri" w:cs="Calibri"/>
          <w:sz w:val="22"/>
          <w:szCs w:val="22"/>
        </w:rPr>
      </w:pPr>
      <w:r w:rsidRPr="00DE08D2">
        <w:rPr>
          <w:rFonts w:ascii="Calibri" w:eastAsia="Calibri" w:hAnsi="Calibri" w:cs="Calibri"/>
          <w:sz w:val="22"/>
          <w:szCs w:val="22"/>
        </w:rPr>
        <w:t xml:space="preserve">Students studying </w:t>
      </w:r>
      <w:r w:rsidR="00F23923">
        <w:rPr>
          <w:rFonts w:ascii="Calibri" w:eastAsia="Calibri" w:hAnsi="Calibri" w:cs="Calibri"/>
          <w:sz w:val="22"/>
          <w:szCs w:val="22"/>
        </w:rPr>
        <w:t xml:space="preserve">outside Oxford (i.e. </w:t>
      </w:r>
      <w:r w:rsidRPr="00DE08D2">
        <w:rPr>
          <w:rFonts w:ascii="Calibri" w:eastAsia="Calibri" w:hAnsi="Calibri" w:cs="Calibri"/>
          <w:sz w:val="22"/>
          <w:szCs w:val="22"/>
        </w:rPr>
        <w:t>Swindon campus</w:t>
      </w:r>
      <w:r w:rsidR="00F23923">
        <w:rPr>
          <w:rFonts w:ascii="Calibri" w:eastAsia="Calibri" w:hAnsi="Calibri" w:cs="Calibri"/>
          <w:sz w:val="22"/>
          <w:szCs w:val="22"/>
        </w:rPr>
        <w:t>)</w:t>
      </w:r>
      <w:r w:rsidRPr="00DE08D2">
        <w:rPr>
          <w:rFonts w:ascii="Calibri" w:eastAsia="Calibri" w:hAnsi="Calibri" w:cs="Calibri"/>
          <w:sz w:val="22"/>
          <w:szCs w:val="22"/>
        </w:rPr>
        <w:t xml:space="preserve"> </w:t>
      </w:r>
      <w:r>
        <w:rPr>
          <w:rFonts w:ascii="Calibri" w:eastAsia="Calibri" w:hAnsi="Calibri" w:cs="Calibri"/>
          <w:sz w:val="22"/>
          <w:szCs w:val="22"/>
        </w:rPr>
        <w:t>(</w:t>
      </w:r>
      <w:r w:rsidR="00F23923">
        <w:rPr>
          <w:rFonts w:ascii="Calibri" w:eastAsia="Calibri" w:hAnsi="Calibri" w:cs="Calibri"/>
          <w:sz w:val="22"/>
          <w:szCs w:val="22"/>
        </w:rPr>
        <w:t>218</w:t>
      </w:r>
      <w:r>
        <w:rPr>
          <w:rFonts w:ascii="Calibri" w:eastAsia="Calibri" w:hAnsi="Calibri" w:cs="Calibri"/>
          <w:sz w:val="22"/>
          <w:szCs w:val="22"/>
        </w:rPr>
        <w:t>)</w:t>
      </w:r>
    </w:p>
    <w:p w:rsidR="00DE08D2" w:rsidRDefault="00DE08D2" w:rsidP="004335B5">
      <w:pPr>
        <w:pStyle w:val="ListParagraph"/>
        <w:numPr>
          <w:ilvl w:val="0"/>
          <w:numId w:val="24"/>
        </w:numPr>
        <w:autoSpaceDE w:val="0"/>
        <w:autoSpaceDN w:val="0"/>
        <w:adjustRightInd w:val="0"/>
        <w:spacing w:after="200" w:line="276" w:lineRule="auto"/>
        <w:ind w:left="851"/>
        <w:jc w:val="both"/>
        <w:rPr>
          <w:rFonts w:ascii="Calibri" w:eastAsia="Calibri" w:hAnsi="Calibri" w:cs="Calibri"/>
          <w:sz w:val="22"/>
          <w:szCs w:val="22"/>
        </w:rPr>
      </w:pPr>
      <w:r w:rsidRPr="00DE08D2">
        <w:rPr>
          <w:rFonts w:ascii="Calibri" w:eastAsia="Calibri" w:hAnsi="Calibri" w:cs="Calibri"/>
          <w:sz w:val="22"/>
          <w:szCs w:val="22"/>
        </w:rPr>
        <w:t>Placement students away from the university (</w:t>
      </w:r>
      <w:r w:rsidR="00F23923">
        <w:rPr>
          <w:rFonts w:ascii="Calibri" w:eastAsia="Calibri" w:hAnsi="Calibri" w:cs="Calibri"/>
          <w:sz w:val="22"/>
          <w:szCs w:val="22"/>
        </w:rPr>
        <w:t>425</w:t>
      </w:r>
      <w:r w:rsidRPr="00DE08D2">
        <w:rPr>
          <w:rFonts w:ascii="Calibri" w:eastAsia="Calibri" w:hAnsi="Calibri" w:cs="Calibri"/>
          <w:sz w:val="22"/>
          <w:szCs w:val="22"/>
        </w:rPr>
        <w:t>)</w:t>
      </w:r>
    </w:p>
    <w:p w:rsidR="00DE08D2" w:rsidRPr="00DE08D2" w:rsidRDefault="00DE08D2" w:rsidP="00DE08D2">
      <w:pPr>
        <w:pStyle w:val="ListParagraph"/>
        <w:autoSpaceDE w:val="0"/>
        <w:autoSpaceDN w:val="0"/>
        <w:adjustRightInd w:val="0"/>
        <w:spacing w:after="200" w:line="276" w:lineRule="auto"/>
        <w:ind w:left="851"/>
        <w:jc w:val="both"/>
        <w:rPr>
          <w:rFonts w:ascii="Calibri" w:eastAsia="Calibri" w:hAnsi="Calibri" w:cs="Calibri"/>
          <w:sz w:val="22"/>
          <w:szCs w:val="22"/>
        </w:rPr>
      </w:pPr>
    </w:p>
    <w:p w:rsidR="00DE08D2" w:rsidRPr="00DE08D2" w:rsidRDefault="00DE08D2" w:rsidP="004335B5">
      <w:pPr>
        <w:pStyle w:val="ListParagraph"/>
        <w:numPr>
          <w:ilvl w:val="1"/>
          <w:numId w:val="9"/>
        </w:numPr>
        <w:autoSpaceDE w:val="0"/>
        <w:autoSpaceDN w:val="0"/>
        <w:adjustRightInd w:val="0"/>
        <w:spacing w:after="200" w:line="276" w:lineRule="auto"/>
        <w:jc w:val="both"/>
        <w:rPr>
          <w:rFonts w:ascii="Calibri" w:eastAsia="Calibri" w:hAnsi="Calibri" w:cs="Calibri"/>
          <w:sz w:val="22"/>
          <w:szCs w:val="22"/>
        </w:rPr>
      </w:pPr>
      <w:r w:rsidRPr="00DE08D2">
        <w:rPr>
          <w:rFonts w:ascii="Calibri" w:eastAsia="Calibri" w:hAnsi="Calibri" w:cs="Calibri"/>
          <w:sz w:val="22"/>
          <w:szCs w:val="22"/>
        </w:rPr>
        <w:t>The other exclusions that apply to the University of Oxford (visiting students; post-graduate research students past year 4 of study; students working full time for the NHS; and students who are also members of staff) do not affect the figures for Oxford Brookes</w:t>
      </w:r>
      <w:r>
        <w:rPr>
          <w:rFonts w:ascii="Calibri" w:eastAsia="Calibri" w:hAnsi="Calibri" w:cs="Calibri"/>
          <w:sz w:val="22"/>
          <w:szCs w:val="22"/>
        </w:rPr>
        <w:t xml:space="preserve"> University</w:t>
      </w:r>
      <w:r w:rsidRPr="00DE08D2">
        <w:rPr>
          <w:rFonts w:ascii="Calibri" w:eastAsia="Calibri" w:hAnsi="Calibri" w:cs="Calibri"/>
          <w:sz w:val="22"/>
          <w:szCs w:val="22"/>
        </w:rPr>
        <w:t xml:space="preserve">. </w:t>
      </w:r>
    </w:p>
    <w:p w:rsidR="00EA5A77" w:rsidRPr="00F0266B" w:rsidRDefault="00DE64D9"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98880" behindDoc="0" locked="0" layoutInCell="1" allowOverlap="1" wp14:anchorId="624B9537" wp14:editId="08A83C92">
                <wp:simplePos x="0" y="0"/>
                <wp:positionH relativeFrom="column">
                  <wp:posOffset>3401060</wp:posOffset>
                </wp:positionH>
                <wp:positionV relativeFrom="paragraph">
                  <wp:posOffset>-588645</wp:posOffset>
                </wp:positionV>
                <wp:extent cx="2427605" cy="352425"/>
                <wp:effectExtent l="0" t="0" r="0" b="9525"/>
                <wp:wrapNone/>
                <wp:docPr id="243" name="Text Box 24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DE64D9">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3" o:spid="_x0000_s1061" type="#_x0000_t202" style="position:absolute;left:0;text-align:left;margin-left:267.8pt;margin-top:-46.35pt;width:191.15pt;height:27.7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" fillcolor="window" stroked="f" strokeweight=".5pt">
                <v:textbox>
                  <w:txbxContent>
                    <w:p w:rsidR="000D3CFF" w:rsidRPr="00280EB5" w:rsidRDefault="000D3CFF" w:rsidP="00DE64D9">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F0266B">
        <w:rPr>
          <w:rFonts w:ascii="Calibri" w:eastAsia="Calibri" w:hAnsi="Calibri" w:cs="Calibri"/>
          <w:sz w:val="22"/>
          <w:szCs w:val="22"/>
        </w:rPr>
        <w:t>Taking into account these exclusions, at 1</w:t>
      </w:r>
      <w:r w:rsidR="00DE08D2">
        <w:rPr>
          <w:rFonts w:ascii="Calibri" w:eastAsia="Calibri" w:hAnsi="Calibri" w:cs="Calibri"/>
          <w:sz w:val="22"/>
          <w:szCs w:val="22"/>
        </w:rPr>
        <w:t xml:space="preserve"> December 2013</w:t>
      </w:r>
      <w:r w:rsidR="00DE08D2" w:rsidRPr="00DE08D2">
        <w:rPr>
          <w:rFonts w:ascii="Calibri" w:eastAsia="Calibri" w:hAnsi="Calibri" w:cs="Calibri"/>
          <w:sz w:val="22"/>
          <w:szCs w:val="22"/>
        </w:rPr>
        <w:t xml:space="preserve"> there were </w:t>
      </w:r>
      <w:r w:rsidR="00F0266B">
        <w:rPr>
          <w:rFonts w:ascii="Calibri" w:eastAsia="Calibri" w:hAnsi="Calibri" w:cs="Calibri"/>
          <w:sz w:val="22"/>
          <w:szCs w:val="22"/>
        </w:rPr>
        <w:t>8,319</w:t>
      </w:r>
      <w:r w:rsidR="00DE08D2" w:rsidRPr="00DE08D2">
        <w:rPr>
          <w:rFonts w:ascii="Calibri" w:eastAsia="Calibri" w:hAnsi="Calibri" w:cs="Calibri"/>
          <w:sz w:val="22"/>
          <w:szCs w:val="22"/>
        </w:rPr>
        <w:t xml:space="preserve"> full-time students in need of accommodation</w:t>
      </w:r>
      <w:r w:rsidR="00F0266B">
        <w:rPr>
          <w:rFonts w:ascii="Calibri" w:eastAsia="Calibri" w:hAnsi="Calibri" w:cs="Calibri"/>
          <w:sz w:val="22"/>
          <w:szCs w:val="22"/>
        </w:rPr>
        <w:t xml:space="preserve"> and</w:t>
      </w:r>
      <w:r w:rsidR="00F0266B" w:rsidRPr="00DE08D2">
        <w:rPr>
          <w:rFonts w:ascii="Calibri" w:eastAsia="Calibri" w:hAnsi="Calibri" w:cs="Calibri"/>
          <w:sz w:val="22"/>
          <w:szCs w:val="22"/>
        </w:rPr>
        <w:t xml:space="preserve"> </w:t>
      </w:r>
      <w:r w:rsidR="00F0266B">
        <w:rPr>
          <w:rFonts w:ascii="Calibri" w:eastAsia="Calibri" w:hAnsi="Calibri" w:cs="Calibri"/>
          <w:sz w:val="22"/>
          <w:szCs w:val="22"/>
        </w:rPr>
        <w:t>5,</w:t>
      </w:r>
      <w:r w:rsidR="003A4C8B">
        <w:rPr>
          <w:rFonts w:ascii="Calibri" w:eastAsia="Calibri" w:hAnsi="Calibri" w:cs="Calibri"/>
          <w:sz w:val="22"/>
          <w:szCs w:val="22"/>
        </w:rPr>
        <w:t>247</w:t>
      </w:r>
      <w:r w:rsidR="00F0266B" w:rsidRPr="00DE08D2">
        <w:rPr>
          <w:rFonts w:ascii="Calibri" w:eastAsia="Calibri" w:hAnsi="Calibri" w:cs="Calibri"/>
          <w:sz w:val="22"/>
          <w:szCs w:val="22"/>
        </w:rPr>
        <w:t xml:space="preserve"> places in accommodation p</w:t>
      </w:r>
      <w:r w:rsidR="00F0266B">
        <w:rPr>
          <w:rFonts w:ascii="Calibri" w:eastAsia="Calibri" w:hAnsi="Calibri" w:cs="Calibri"/>
          <w:sz w:val="22"/>
          <w:szCs w:val="22"/>
        </w:rPr>
        <w:t>rovided by Oxford Brookes</w:t>
      </w:r>
      <w:r w:rsidR="00F0266B" w:rsidRPr="00DE08D2">
        <w:rPr>
          <w:rFonts w:ascii="Calibri" w:eastAsia="Calibri" w:hAnsi="Calibri" w:cs="Calibri"/>
          <w:sz w:val="22"/>
          <w:szCs w:val="22"/>
        </w:rPr>
        <w:t>.</w:t>
      </w:r>
      <w:r w:rsidR="00F0266B">
        <w:rPr>
          <w:rFonts w:ascii="Calibri" w:eastAsia="Calibri" w:hAnsi="Calibri" w:cs="Calibri"/>
          <w:sz w:val="22"/>
          <w:szCs w:val="22"/>
        </w:rPr>
        <w:t xml:space="preserve"> </w:t>
      </w:r>
      <w:r w:rsidR="00F0266B" w:rsidRPr="00DE08D2">
        <w:rPr>
          <w:rFonts w:ascii="Calibri" w:eastAsia="Calibri" w:hAnsi="Calibri" w:cs="Calibri"/>
          <w:sz w:val="22"/>
          <w:szCs w:val="22"/>
        </w:rPr>
        <w:t xml:space="preserve">The accommodation </w:t>
      </w:r>
      <w:r w:rsidR="00F0266B">
        <w:rPr>
          <w:rFonts w:ascii="Calibri" w:eastAsia="Calibri" w:hAnsi="Calibri" w:cs="Calibri"/>
          <w:sz w:val="22"/>
          <w:szCs w:val="22"/>
        </w:rPr>
        <w:t xml:space="preserve">provided by Oxford Brookes </w:t>
      </w:r>
      <w:r w:rsidR="00F0266B" w:rsidRPr="00DE08D2">
        <w:rPr>
          <w:rFonts w:ascii="Calibri" w:eastAsia="Calibri" w:hAnsi="Calibri" w:cs="Calibri"/>
          <w:sz w:val="22"/>
          <w:szCs w:val="22"/>
        </w:rPr>
        <w:t xml:space="preserve">comprised </w:t>
      </w:r>
      <w:r w:rsidR="00F0266B">
        <w:rPr>
          <w:rFonts w:ascii="Calibri" w:eastAsia="Calibri" w:hAnsi="Calibri" w:cs="Calibri"/>
          <w:sz w:val="22"/>
          <w:szCs w:val="22"/>
        </w:rPr>
        <w:t>3,81</w:t>
      </w:r>
      <w:r w:rsidR="003A4C8B">
        <w:rPr>
          <w:rFonts w:ascii="Calibri" w:eastAsia="Calibri" w:hAnsi="Calibri" w:cs="Calibri"/>
          <w:sz w:val="22"/>
          <w:szCs w:val="22"/>
        </w:rPr>
        <w:t>6</w:t>
      </w:r>
      <w:r w:rsidR="00F0266B" w:rsidRPr="00DE08D2">
        <w:rPr>
          <w:rFonts w:ascii="Calibri" w:eastAsia="Calibri" w:hAnsi="Calibri" w:cs="Calibri"/>
          <w:sz w:val="22"/>
          <w:szCs w:val="22"/>
        </w:rPr>
        <w:t xml:space="preserve"> places in university halls of residence; </w:t>
      </w:r>
      <w:r w:rsidR="003A4C8B">
        <w:rPr>
          <w:rFonts w:ascii="Calibri" w:eastAsia="Calibri" w:hAnsi="Calibri" w:cs="Calibri"/>
          <w:sz w:val="22"/>
          <w:szCs w:val="22"/>
        </w:rPr>
        <w:t>98</w:t>
      </w:r>
      <w:r w:rsidR="00F0266B">
        <w:rPr>
          <w:rFonts w:ascii="Calibri" w:eastAsia="Calibri" w:hAnsi="Calibri" w:cs="Calibri"/>
          <w:sz w:val="22"/>
          <w:szCs w:val="22"/>
        </w:rPr>
        <w:t>7</w:t>
      </w:r>
      <w:r w:rsidR="00F0266B" w:rsidRPr="00DE08D2">
        <w:rPr>
          <w:rFonts w:ascii="Calibri" w:eastAsia="Calibri" w:hAnsi="Calibri" w:cs="Calibri"/>
          <w:sz w:val="22"/>
          <w:szCs w:val="22"/>
        </w:rPr>
        <w:t xml:space="preserve"> places in private halls of residence with Oxford Bro</w:t>
      </w:r>
      <w:r w:rsidR="00F0266B">
        <w:rPr>
          <w:rFonts w:ascii="Calibri" w:eastAsia="Calibri" w:hAnsi="Calibri" w:cs="Calibri"/>
          <w:sz w:val="22"/>
          <w:szCs w:val="22"/>
        </w:rPr>
        <w:t>okes nomination agreements; and 4</w:t>
      </w:r>
      <w:r w:rsidR="003A4C8B">
        <w:rPr>
          <w:rFonts w:ascii="Calibri" w:eastAsia="Calibri" w:hAnsi="Calibri" w:cs="Calibri"/>
          <w:sz w:val="22"/>
          <w:szCs w:val="22"/>
        </w:rPr>
        <w:t>44</w:t>
      </w:r>
      <w:r w:rsidR="00F0266B" w:rsidRPr="00DE08D2">
        <w:rPr>
          <w:rFonts w:ascii="Calibri" w:eastAsia="Calibri" w:hAnsi="Calibri" w:cs="Calibri"/>
          <w:sz w:val="22"/>
          <w:szCs w:val="22"/>
        </w:rPr>
        <w:t xml:space="preserve"> places in other properties managed by the univer</w:t>
      </w:r>
      <w:r w:rsidR="00F0266B">
        <w:rPr>
          <w:rFonts w:ascii="Calibri" w:eastAsia="Calibri" w:hAnsi="Calibri" w:cs="Calibri"/>
          <w:sz w:val="22"/>
          <w:szCs w:val="22"/>
        </w:rPr>
        <w:t>sity.</w:t>
      </w:r>
      <w:r w:rsidR="00F0266B" w:rsidRPr="00DE08D2">
        <w:rPr>
          <w:rFonts w:ascii="Calibri" w:eastAsia="Calibri" w:hAnsi="Calibri" w:cs="Calibri"/>
          <w:sz w:val="22"/>
          <w:szCs w:val="22"/>
        </w:rPr>
        <w:t xml:space="preserve"> </w:t>
      </w:r>
      <w:r w:rsidR="00F0266B">
        <w:rPr>
          <w:rFonts w:ascii="Calibri" w:eastAsia="Calibri" w:hAnsi="Calibri" w:cs="Calibri"/>
          <w:sz w:val="22"/>
          <w:szCs w:val="22"/>
        </w:rPr>
        <w:t>This results in 3,</w:t>
      </w:r>
      <w:r w:rsidR="003A4C8B">
        <w:rPr>
          <w:rFonts w:ascii="Calibri" w:eastAsia="Calibri" w:hAnsi="Calibri" w:cs="Calibri"/>
          <w:sz w:val="22"/>
          <w:szCs w:val="22"/>
        </w:rPr>
        <w:t>072</w:t>
      </w:r>
      <w:r w:rsidR="00DE08D2" w:rsidRPr="00F0266B">
        <w:rPr>
          <w:rFonts w:ascii="Calibri" w:eastAsia="Calibri" w:hAnsi="Calibri" w:cs="Calibri"/>
          <w:sz w:val="22"/>
          <w:szCs w:val="22"/>
        </w:rPr>
        <w:t xml:space="preserve"> students without a place</w:t>
      </w:r>
      <w:r w:rsidR="00014565">
        <w:rPr>
          <w:rFonts w:ascii="Calibri" w:eastAsia="Calibri" w:hAnsi="Calibri" w:cs="Calibri"/>
          <w:sz w:val="22"/>
          <w:szCs w:val="22"/>
        </w:rPr>
        <w:t xml:space="preserve"> in university</w:t>
      </w:r>
      <w:r w:rsidR="00DE08D2" w:rsidRPr="00F0266B">
        <w:rPr>
          <w:rFonts w:ascii="Calibri" w:eastAsia="Calibri" w:hAnsi="Calibri" w:cs="Calibri"/>
          <w:sz w:val="22"/>
          <w:szCs w:val="22"/>
        </w:rPr>
        <w:t xml:space="preserve"> provided accommodation.</w:t>
      </w:r>
      <w:r w:rsidRPr="00DE64D9">
        <w:rPr>
          <w:rFonts w:ascii="Calibri" w:eastAsia="Calibri" w:hAnsi="Calibri" w:cs="Calibri"/>
          <w:b/>
          <w:noProof/>
          <w:color w:val="000000"/>
          <w:sz w:val="32"/>
          <w:szCs w:val="32"/>
          <w:lang w:eastAsia="en-GB"/>
        </w:rPr>
        <w:t xml:space="preserve"> </w:t>
      </w:r>
    </w:p>
    <w:p w:rsidR="00FF5ABF" w:rsidRDefault="00FF5ABF" w:rsidP="00557661">
      <w:pPr>
        <w:autoSpaceDE w:val="0"/>
        <w:autoSpaceDN w:val="0"/>
        <w:adjustRightInd w:val="0"/>
        <w:spacing w:line="276" w:lineRule="auto"/>
        <w:ind w:left="357"/>
        <w:jc w:val="both"/>
        <w:rPr>
          <w:noProof/>
          <w:lang w:eastAsia="en-GB"/>
        </w:rPr>
      </w:pPr>
      <w:r>
        <w:rPr>
          <w:rFonts w:ascii="Calibri" w:eastAsia="Calibri" w:hAnsi="Calibri" w:cs="Calibri"/>
          <w:noProof/>
          <w:sz w:val="22"/>
          <w:szCs w:val="22"/>
          <w:lang w:eastAsia="en-GB"/>
        </w:rPr>
        <mc:AlternateContent>
          <mc:Choice Requires="wps">
            <w:drawing>
              <wp:anchor distT="0" distB="0" distL="114300" distR="114300" simplePos="0" relativeHeight="251889664" behindDoc="0" locked="0" layoutInCell="1" allowOverlap="1" wp14:anchorId="39285B7F" wp14:editId="5C4AE24A">
                <wp:simplePos x="0" y="0"/>
                <wp:positionH relativeFrom="column">
                  <wp:posOffset>5828030</wp:posOffset>
                </wp:positionH>
                <wp:positionV relativeFrom="paragraph">
                  <wp:posOffset>639445</wp:posOffset>
                </wp:positionV>
                <wp:extent cx="581025" cy="242570"/>
                <wp:effectExtent l="0" t="0" r="9525" b="5080"/>
                <wp:wrapNone/>
                <wp:docPr id="238" name="Text Box 238"/>
                <wp:cNvGraphicFramePr/>
                <a:graphic xmlns:a="http://schemas.openxmlformats.org/drawingml/2006/main">
                  <a:graphicData uri="http://schemas.microsoft.com/office/word/2010/wordprocessingShape">
                    <wps:wsp>
                      <wps:cNvSpPr txBox="1"/>
                      <wps:spPr>
                        <a:xfrm>
                          <a:off x="0" y="0"/>
                          <a:ext cx="581025" cy="242570"/>
                        </a:xfrm>
                        <a:prstGeom prst="rect">
                          <a:avLst/>
                        </a:prstGeom>
                        <a:solidFill>
                          <a:sysClr val="window" lastClr="FFFFFF"/>
                        </a:solidFill>
                        <a:ln w="6350">
                          <a:noFill/>
                        </a:ln>
                        <a:effectLst/>
                      </wps:spPr>
                      <wps:txbx>
                        <w:txbxContent>
                          <w:p w:rsidR="000D3CFF" w:rsidRPr="001F4E9A" w:rsidRDefault="000D3CFF" w:rsidP="00275B23">
                            <w:pPr>
                              <w:ind w:left="-142"/>
                              <w:rPr>
                                <w:color w:val="E36C0A" w:themeColor="accent6" w:themeShade="BF"/>
                                <w:sz w:val="18"/>
                              </w:rPr>
                            </w:pPr>
                            <w:r>
                              <w:rPr>
                                <w:color w:val="E36C0A" w:themeColor="accent6" w:themeShade="BF"/>
                                <w:sz w:val="18"/>
                              </w:rPr>
                              <w:t>T</w:t>
                            </w:r>
                            <w:r w:rsidRPr="001F4E9A">
                              <w:rPr>
                                <w:color w:val="E36C0A" w:themeColor="accent6" w:themeShade="BF"/>
                                <w:sz w:val="18"/>
                              </w:rPr>
                              <w: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62" type="#_x0000_t202" style="position:absolute;left:0;text-align:left;margin-left:458.9pt;margin-top:50.35pt;width:45.75pt;height:19.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" fillcolor="window" stroked="f" strokeweight=".5pt">
                <v:textbox>
                  <w:txbxContent>
                    <w:p w:rsidR="000D3CFF" w:rsidRPr="001F4E9A" w:rsidRDefault="000D3CFF" w:rsidP="00275B23">
                      <w:pPr>
                        <w:ind w:left="-142"/>
                        <w:rPr>
                          <w:color w:val="E36C0A" w:themeColor="accent6" w:themeShade="BF"/>
                          <w:sz w:val="18"/>
                        </w:rPr>
                      </w:pPr>
                      <w:r>
                        <w:rPr>
                          <w:color w:val="E36C0A" w:themeColor="accent6" w:themeShade="BF"/>
                          <w:sz w:val="18"/>
                        </w:rPr>
                        <w:t>T</w:t>
                      </w:r>
                      <w:r w:rsidRPr="001F4E9A">
                        <w:rPr>
                          <w:color w:val="E36C0A" w:themeColor="accent6" w:themeShade="BF"/>
                          <w:sz w:val="18"/>
                        </w:rPr>
                        <w:t>arget</w:t>
                      </w:r>
                    </w:p>
                  </w:txbxContent>
                </v:textbox>
              </v:shape>
            </w:pict>
          </mc:Fallback>
        </mc:AlternateContent>
      </w:r>
      <w:r>
        <w:rPr>
          <w:noProof/>
          <w:lang w:eastAsia="en-GB"/>
        </w:rPr>
        <mc:AlternateContent>
          <mc:Choice Requires="wps">
            <w:drawing>
              <wp:anchor distT="0" distB="0" distL="114300" distR="114300" simplePos="0" relativeHeight="251887616" behindDoc="0" locked="0" layoutInCell="1" allowOverlap="1" wp14:anchorId="3FD811D7" wp14:editId="5F314097">
                <wp:simplePos x="0" y="0"/>
                <wp:positionH relativeFrom="column">
                  <wp:posOffset>1114425</wp:posOffset>
                </wp:positionH>
                <wp:positionV relativeFrom="paragraph">
                  <wp:posOffset>767715</wp:posOffset>
                </wp:positionV>
                <wp:extent cx="4714875" cy="4445"/>
                <wp:effectExtent l="0" t="0" r="9525" b="33655"/>
                <wp:wrapNone/>
                <wp:docPr id="237" name="Straight Connector 1"/>
                <wp:cNvGraphicFramePr/>
                <a:graphic xmlns:a="http://schemas.openxmlformats.org/drawingml/2006/main">
                  <a:graphicData uri="http://schemas.microsoft.com/office/word/2010/wordprocessingShape">
                    <wps:wsp>
                      <wps:cNvCnPr/>
                      <wps:spPr>
                        <a:xfrm>
                          <a:off x="0" y="0"/>
                          <a:ext cx="4714875" cy="4445"/>
                        </a:xfrm>
                        <a:prstGeom prst="line">
                          <a:avLst/>
                        </a:prstGeom>
                        <a:noFill/>
                        <a:ln w="19050" cap="flat" cmpd="sng" algn="ctr">
                          <a:solidFill>
                            <a:srgbClr val="F79646">
                              <a:lumMod val="75000"/>
                            </a:srgbClr>
                          </a:solidFill>
                          <a:prstDash val="sysDash"/>
                        </a:ln>
                        <a:effectLst/>
                      </wps:spPr>
                      <wps:bodyPr/>
                    </wps:wsp>
                  </a:graphicData>
                </a:graphic>
              </wp:anchor>
            </w:drawing>
          </mc:Choice>
          <mc:Fallback>
            <w:pict>
              <v:line id="Straight Connector 1"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87.75pt,60.45pt" to="459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" strokecolor="#e46c0a" strokeweight="1.5pt">
                <v:stroke dashstyle="3 1"/>
              </v:line>
            </w:pict>
          </mc:Fallback>
        </mc:AlternateContent>
      </w:r>
      <w:r w:rsidR="000B1E6E">
        <w:rPr>
          <w:noProof/>
          <w:lang w:eastAsia="en-GB"/>
        </w:rPr>
        <w:drawing>
          <wp:inline distT="0" distB="0" distL="0" distR="0" wp14:anchorId="2068DCAF" wp14:editId="4091B45A">
            <wp:extent cx="5731510" cy="3241120"/>
            <wp:effectExtent l="0" t="0" r="2540" b="0"/>
            <wp:docPr id="248" name="Chart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4973" w:rsidRDefault="008B306D" w:rsidP="00374973">
      <w:pPr>
        <w:autoSpaceDE w:val="0"/>
        <w:autoSpaceDN w:val="0"/>
        <w:adjustRightInd w:val="0"/>
        <w:spacing w:line="276" w:lineRule="auto"/>
        <w:ind w:left="357"/>
        <w:jc w:val="center"/>
        <w:rPr>
          <w:rFonts w:ascii="Calibri" w:eastAsia="Calibri" w:hAnsi="Calibri" w:cs="Times New Roman"/>
          <w:sz w:val="20"/>
          <w:szCs w:val="22"/>
        </w:rPr>
      </w:pPr>
      <w:r>
        <w:rPr>
          <w:rFonts w:ascii="Calibri" w:eastAsia="Calibri" w:hAnsi="Calibri" w:cs="Times New Roman"/>
          <w:b/>
          <w:sz w:val="20"/>
          <w:szCs w:val="22"/>
        </w:rPr>
        <w:t>Figure 19</w:t>
      </w:r>
      <w:r w:rsidR="00EA5A77" w:rsidRPr="00374973">
        <w:rPr>
          <w:rFonts w:ascii="Calibri" w:eastAsia="Calibri" w:hAnsi="Calibri" w:cs="Times New Roman"/>
          <w:b/>
          <w:sz w:val="20"/>
          <w:szCs w:val="22"/>
        </w:rPr>
        <w:t>:</w:t>
      </w:r>
      <w:r w:rsidR="00EA5A77" w:rsidRPr="00374973">
        <w:rPr>
          <w:rFonts w:ascii="Calibri" w:eastAsia="Calibri" w:hAnsi="Calibri" w:cs="Times New Roman"/>
          <w:sz w:val="20"/>
          <w:szCs w:val="22"/>
        </w:rPr>
        <w:t xml:space="preserve"> Number of Oxford Brookes students living</w:t>
      </w:r>
      <w:r w:rsidR="00374973">
        <w:rPr>
          <w:rFonts w:ascii="Calibri" w:eastAsia="Calibri" w:hAnsi="Calibri" w:cs="Times New Roman"/>
          <w:sz w:val="20"/>
          <w:szCs w:val="22"/>
        </w:rPr>
        <w:t xml:space="preserve"> outside of university provided</w:t>
      </w:r>
    </w:p>
    <w:p w:rsidR="005A4BBF" w:rsidRDefault="00EA5A77" w:rsidP="005A4BBF">
      <w:pPr>
        <w:autoSpaceDE w:val="0"/>
        <w:autoSpaceDN w:val="0"/>
        <w:adjustRightInd w:val="0"/>
        <w:spacing w:after="200" w:line="276" w:lineRule="auto"/>
        <w:ind w:left="360"/>
        <w:jc w:val="center"/>
        <w:rPr>
          <w:rFonts w:ascii="Calibri" w:eastAsia="Calibri" w:hAnsi="Calibri" w:cs="Calibri"/>
          <w:sz w:val="22"/>
          <w:szCs w:val="22"/>
        </w:rPr>
      </w:pPr>
      <w:r w:rsidRPr="00374973">
        <w:rPr>
          <w:rFonts w:ascii="Calibri" w:eastAsia="Calibri" w:hAnsi="Calibri" w:cs="Times New Roman"/>
          <w:sz w:val="20"/>
          <w:szCs w:val="22"/>
        </w:rPr>
        <w:t xml:space="preserve"> </w:t>
      </w:r>
      <w:proofErr w:type="gramStart"/>
      <w:r w:rsidRPr="00374973">
        <w:rPr>
          <w:rFonts w:ascii="Calibri" w:eastAsia="Calibri" w:hAnsi="Calibri" w:cs="Times New Roman"/>
          <w:sz w:val="20"/>
          <w:szCs w:val="22"/>
        </w:rPr>
        <w:t>accommodation</w:t>
      </w:r>
      <w:proofErr w:type="gramEnd"/>
      <w:r w:rsidRPr="00374973">
        <w:rPr>
          <w:rFonts w:ascii="Calibri" w:eastAsia="Calibri" w:hAnsi="Calibri" w:cs="Times New Roman"/>
          <w:sz w:val="20"/>
          <w:szCs w:val="22"/>
        </w:rPr>
        <w:t xml:space="preserve"> in recent monitoring years</w:t>
      </w:r>
    </w:p>
    <w:p w:rsidR="005A4BBF" w:rsidRPr="00F62D80" w:rsidRDefault="008B306D"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Pr>
          <w:rFonts w:ascii="Calibri" w:eastAsia="Calibri" w:hAnsi="Calibri" w:cs="Calibri"/>
          <w:sz w:val="22"/>
          <w:szCs w:val="22"/>
        </w:rPr>
        <w:t>Figure 19</w:t>
      </w:r>
      <w:r w:rsidR="00EA5A77" w:rsidRPr="005A4BBF">
        <w:rPr>
          <w:rFonts w:ascii="Calibri" w:eastAsia="Calibri" w:hAnsi="Calibri" w:cs="Calibri"/>
          <w:sz w:val="22"/>
          <w:szCs w:val="22"/>
        </w:rPr>
        <w:t xml:space="preserve"> shows</w:t>
      </w:r>
      <w:r w:rsidR="005A4BBF">
        <w:rPr>
          <w:rFonts w:ascii="Calibri" w:eastAsia="Calibri" w:hAnsi="Calibri" w:cs="Calibri"/>
          <w:sz w:val="22"/>
          <w:szCs w:val="22"/>
        </w:rPr>
        <w:t xml:space="preserve"> that the</w:t>
      </w:r>
      <w:r w:rsidR="00AA1E39">
        <w:rPr>
          <w:rFonts w:ascii="Calibri" w:eastAsia="Calibri" w:hAnsi="Calibri" w:cs="Calibri"/>
          <w:sz w:val="22"/>
          <w:szCs w:val="22"/>
        </w:rPr>
        <w:t xml:space="preserve"> number of Oxford Brookes students living outside of university provided accommodation has </w:t>
      </w:r>
      <w:r w:rsidR="00FF5ABF">
        <w:rPr>
          <w:rFonts w:ascii="Calibri" w:eastAsia="Calibri" w:hAnsi="Calibri" w:cs="Calibri"/>
          <w:sz w:val="22"/>
          <w:szCs w:val="22"/>
        </w:rPr>
        <w:t>increased when compared to the</w:t>
      </w:r>
      <w:r w:rsidR="00FE21C3">
        <w:rPr>
          <w:rFonts w:ascii="Calibri" w:eastAsia="Calibri" w:hAnsi="Calibri" w:cs="Calibri"/>
          <w:sz w:val="22"/>
          <w:szCs w:val="22"/>
        </w:rPr>
        <w:t xml:space="preserve"> previous monitoring year. This is </w:t>
      </w:r>
      <w:r w:rsidR="003B3F0E">
        <w:rPr>
          <w:rFonts w:ascii="Calibri" w:eastAsia="Calibri" w:hAnsi="Calibri" w:cs="Calibri"/>
          <w:sz w:val="22"/>
          <w:szCs w:val="22"/>
        </w:rPr>
        <w:t>because the</w:t>
      </w:r>
      <w:r w:rsidR="00FF5ABF" w:rsidRPr="00FE21C3">
        <w:rPr>
          <w:rFonts w:ascii="Calibri" w:eastAsia="Calibri" w:hAnsi="Calibri" w:cs="Calibri"/>
          <w:sz w:val="22"/>
          <w:szCs w:val="22"/>
        </w:rPr>
        <w:t xml:space="preserve"> number of full-time on-site Oxford Brookes students increased in 2013 when compared to</w:t>
      </w:r>
      <w:r w:rsidR="003B3F0E">
        <w:rPr>
          <w:rFonts w:ascii="Calibri" w:eastAsia="Calibri" w:hAnsi="Calibri" w:cs="Calibri"/>
          <w:sz w:val="22"/>
          <w:szCs w:val="22"/>
        </w:rPr>
        <w:t xml:space="preserve"> the same date in</w:t>
      </w:r>
      <w:r w:rsidR="00FF5ABF" w:rsidRPr="00FE21C3">
        <w:rPr>
          <w:rFonts w:ascii="Calibri" w:eastAsia="Calibri" w:hAnsi="Calibri" w:cs="Calibri"/>
          <w:sz w:val="22"/>
          <w:szCs w:val="22"/>
        </w:rPr>
        <w:t xml:space="preserve"> 201</w:t>
      </w:r>
      <w:r w:rsidR="003B3F0E">
        <w:rPr>
          <w:rFonts w:ascii="Calibri" w:eastAsia="Calibri" w:hAnsi="Calibri" w:cs="Calibri"/>
          <w:sz w:val="22"/>
          <w:szCs w:val="22"/>
        </w:rPr>
        <w:t>2. Th</w:t>
      </w:r>
      <w:r w:rsidR="00612E7F">
        <w:rPr>
          <w:rFonts w:ascii="Calibri" w:eastAsia="Calibri" w:hAnsi="Calibri" w:cs="Calibri"/>
          <w:sz w:val="22"/>
          <w:szCs w:val="22"/>
        </w:rPr>
        <w:t>e university has explained that th</w:t>
      </w:r>
      <w:r w:rsidR="003B3F0E">
        <w:rPr>
          <w:rFonts w:ascii="Calibri" w:eastAsia="Calibri" w:hAnsi="Calibri" w:cs="Calibri"/>
          <w:sz w:val="22"/>
          <w:szCs w:val="22"/>
        </w:rPr>
        <w:t>is was a</w:t>
      </w:r>
      <w:r w:rsidR="00FF5ABF" w:rsidRPr="00FE21C3">
        <w:rPr>
          <w:rFonts w:ascii="Calibri" w:eastAsia="Calibri" w:hAnsi="Calibri" w:cs="Calibri"/>
          <w:sz w:val="22"/>
          <w:szCs w:val="22"/>
        </w:rPr>
        <w:t xml:space="preserve"> result of volatile market conditions</w:t>
      </w:r>
      <w:r w:rsidR="00612E7F">
        <w:rPr>
          <w:rFonts w:ascii="Calibri" w:eastAsia="Calibri" w:hAnsi="Calibri" w:cs="Calibri"/>
          <w:sz w:val="22"/>
          <w:szCs w:val="22"/>
        </w:rPr>
        <w:t>,</w:t>
      </w:r>
      <w:r w:rsidR="00FF5ABF" w:rsidRPr="00FE21C3">
        <w:rPr>
          <w:rFonts w:ascii="Calibri" w:eastAsia="Calibri" w:hAnsi="Calibri" w:cs="Calibri"/>
          <w:sz w:val="22"/>
          <w:szCs w:val="22"/>
        </w:rPr>
        <w:t xml:space="preserve"> following changes to government policy</w:t>
      </w:r>
      <w:r w:rsidR="00612E7F">
        <w:rPr>
          <w:rFonts w:ascii="Calibri" w:eastAsia="Calibri" w:hAnsi="Calibri" w:cs="Calibri"/>
          <w:sz w:val="22"/>
          <w:szCs w:val="22"/>
        </w:rPr>
        <w:t>,</w:t>
      </w:r>
      <w:r w:rsidR="00FF5ABF" w:rsidRPr="00FE21C3">
        <w:rPr>
          <w:rFonts w:ascii="Calibri" w:eastAsia="Calibri" w:hAnsi="Calibri" w:cs="Calibri"/>
          <w:sz w:val="22"/>
          <w:szCs w:val="22"/>
        </w:rPr>
        <w:t xml:space="preserve"> which made it very difficult for Brookes (as well as other universities) to predict student behaviour and market (i.e. other universities') responses.  In the event Brookes recruited above target resulting in a figure</w:t>
      </w:r>
      <w:r w:rsidR="000D3CFF">
        <w:rPr>
          <w:rFonts w:ascii="Calibri" w:eastAsia="Calibri" w:hAnsi="Calibri" w:cs="Calibri"/>
          <w:sz w:val="22"/>
          <w:szCs w:val="22"/>
        </w:rPr>
        <w:t xml:space="preserve"> just</w:t>
      </w:r>
      <w:r w:rsidR="00FF5ABF" w:rsidRPr="00FE21C3">
        <w:rPr>
          <w:rFonts w:ascii="Calibri" w:eastAsia="Calibri" w:hAnsi="Calibri" w:cs="Calibri"/>
          <w:sz w:val="22"/>
          <w:szCs w:val="22"/>
        </w:rPr>
        <w:t xml:space="preserve"> above the 3</w:t>
      </w:r>
      <w:r w:rsidR="003B3F0E">
        <w:rPr>
          <w:rFonts w:ascii="Calibri" w:eastAsia="Calibri" w:hAnsi="Calibri" w:cs="Calibri"/>
          <w:sz w:val="22"/>
          <w:szCs w:val="22"/>
        </w:rPr>
        <w:t>,</w:t>
      </w:r>
      <w:r w:rsidR="00FF5ABF" w:rsidRPr="00FE21C3">
        <w:rPr>
          <w:rFonts w:ascii="Calibri" w:eastAsia="Calibri" w:hAnsi="Calibri" w:cs="Calibri"/>
          <w:sz w:val="22"/>
          <w:szCs w:val="22"/>
        </w:rPr>
        <w:t xml:space="preserve">000 threshold. </w:t>
      </w:r>
      <w:r w:rsidR="003B3F0E">
        <w:rPr>
          <w:rFonts w:ascii="Calibri" w:eastAsia="Calibri" w:hAnsi="Calibri" w:cs="Calibri"/>
          <w:sz w:val="22"/>
          <w:szCs w:val="22"/>
        </w:rPr>
        <w:t xml:space="preserve">The </w:t>
      </w:r>
      <w:r w:rsidR="00612E7F">
        <w:rPr>
          <w:rFonts w:ascii="Calibri" w:eastAsia="Calibri" w:hAnsi="Calibri" w:cs="Calibri"/>
          <w:sz w:val="22"/>
          <w:szCs w:val="22"/>
        </w:rPr>
        <w:t xml:space="preserve">university adds that the </w:t>
      </w:r>
      <w:r w:rsidR="003B3F0E">
        <w:rPr>
          <w:rFonts w:ascii="Calibri" w:eastAsia="Calibri" w:hAnsi="Calibri" w:cs="Calibri"/>
          <w:sz w:val="22"/>
          <w:szCs w:val="22"/>
        </w:rPr>
        <w:t>increase in students living outside of university provided accommodation is</w:t>
      </w:r>
      <w:r w:rsidR="00FF5ABF" w:rsidRPr="00FE21C3">
        <w:rPr>
          <w:rFonts w:ascii="Calibri" w:eastAsia="Calibri" w:hAnsi="Calibri" w:cs="Calibri"/>
          <w:sz w:val="22"/>
          <w:szCs w:val="22"/>
        </w:rPr>
        <w:t xml:space="preserve"> significantl</w:t>
      </w:r>
      <w:r w:rsidR="003B3F0E">
        <w:rPr>
          <w:rFonts w:ascii="Calibri" w:eastAsia="Calibri" w:hAnsi="Calibri" w:cs="Calibri"/>
          <w:sz w:val="22"/>
          <w:szCs w:val="22"/>
        </w:rPr>
        <w:t xml:space="preserve">y less than the increase in </w:t>
      </w:r>
      <w:r w:rsidR="00FF5ABF" w:rsidRPr="00FE21C3">
        <w:rPr>
          <w:rFonts w:ascii="Calibri" w:eastAsia="Calibri" w:hAnsi="Calibri" w:cs="Calibri"/>
          <w:sz w:val="22"/>
          <w:szCs w:val="22"/>
        </w:rPr>
        <w:t>student numbers, demonstrating the effectiveness of actions taken to provide and encourage us</w:t>
      </w:r>
      <w:r w:rsidR="003B3F0E">
        <w:rPr>
          <w:rFonts w:ascii="Calibri" w:eastAsia="Calibri" w:hAnsi="Calibri" w:cs="Calibri"/>
          <w:sz w:val="22"/>
          <w:szCs w:val="22"/>
        </w:rPr>
        <w:t>e of university accommodation.</w:t>
      </w:r>
      <w:r w:rsidR="00FF5ABF" w:rsidRPr="00FE21C3">
        <w:rPr>
          <w:rFonts w:ascii="Calibri" w:eastAsia="Calibri" w:hAnsi="Calibri" w:cs="Calibri"/>
          <w:sz w:val="22"/>
          <w:szCs w:val="22"/>
        </w:rPr>
        <w:t xml:space="preserve"> </w:t>
      </w:r>
      <w:r w:rsidR="001F3B89" w:rsidRPr="001F3B89">
        <w:rPr>
          <w:rFonts w:ascii="Calibri" w:eastAsia="Calibri" w:hAnsi="Calibri" w:cs="Calibri"/>
          <w:sz w:val="22"/>
          <w:szCs w:val="22"/>
        </w:rPr>
        <w:t>Oxford Brookes halls of residence occupancy rates have risen from 87% in 2012/13 to 96% in 2013/14</w:t>
      </w:r>
      <w:r w:rsidR="001F3B89">
        <w:rPr>
          <w:rFonts w:ascii="Calibri" w:eastAsia="Calibri" w:hAnsi="Calibri" w:cs="Calibri"/>
          <w:sz w:val="22"/>
          <w:szCs w:val="22"/>
        </w:rPr>
        <w:t>. There were</w:t>
      </w:r>
      <w:r w:rsidR="001F3B89" w:rsidRPr="001F3B89">
        <w:rPr>
          <w:rFonts w:ascii="Calibri" w:eastAsia="Calibri" w:hAnsi="Calibri" w:cs="Calibri"/>
          <w:sz w:val="22"/>
          <w:szCs w:val="22"/>
        </w:rPr>
        <w:t xml:space="preserve"> also an additional 95 stude</w:t>
      </w:r>
      <w:r w:rsidR="001F3B89">
        <w:rPr>
          <w:rFonts w:ascii="Calibri" w:eastAsia="Calibri" w:hAnsi="Calibri" w:cs="Calibri"/>
          <w:sz w:val="22"/>
          <w:szCs w:val="22"/>
        </w:rPr>
        <w:t>nt places in halls of residence</w:t>
      </w:r>
      <w:r w:rsidR="001F3B89" w:rsidRPr="001F3B89">
        <w:rPr>
          <w:rFonts w:ascii="Calibri" w:eastAsia="Calibri" w:hAnsi="Calibri" w:cs="Calibri"/>
          <w:sz w:val="22"/>
          <w:szCs w:val="22"/>
        </w:rPr>
        <w:t xml:space="preserve"> and 51 places in nominated halls</w:t>
      </w:r>
      <w:r w:rsidR="001F3B89">
        <w:rPr>
          <w:rFonts w:ascii="Calibri" w:eastAsia="Calibri" w:hAnsi="Calibri" w:cs="Calibri"/>
          <w:sz w:val="22"/>
          <w:szCs w:val="22"/>
        </w:rPr>
        <w:t xml:space="preserve"> in 2013/14 when compared to the previous monitoring year</w:t>
      </w:r>
      <w:r w:rsidR="001F3B89" w:rsidRPr="001F3B89">
        <w:rPr>
          <w:rFonts w:ascii="Calibri" w:eastAsia="Calibri" w:hAnsi="Calibri" w:cs="Calibri"/>
          <w:sz w:val="22"/>
          <w:szCs w:val="22"/>
        </w:rPr>
        <w:t>.</w:t>
      </w:r>
      <w:r w:rsidR="001F3B89">
        <w:rPr>
          <w:rFonts w:ascii="Calibri" w:eastAsia="Calibri" w:hAnsi="Calibri" w:cs="Calibri"/>
          <w:sz w:val="22"/>
          <w:szCs w:val="22"/>
        </w:rPr>
        <w:t xml:space="preserve"> </w:t>
      </w:r>
      <w:r w:rsidR="003B3F0E">
        <w:rPr>
          <w:rFonts w:ascii="Calibri" w:eastAsia="Calibri" w:hAnsi="Calibri" w:cs="Calibri"/>
          <w:sz w:val="22"/>
          <w:szCs w:val="22"/>
        </w:rPr>
        <w:t>Oxford Brookes have</w:t>
      </w:r>
      <w:r w:rsidR="00FF5ABF" w:rsidRPr="00FE21C3">
        <w:rPr>
          <w:rFonts w:ascii="Calibri" w:eastAsia="Calibri" w:hAnsi="Calibri" w:cs="Calibri"/>
          <w:sz w:val="22"/>
          <w:szCs w:val="22"/>
        </w:rPr>
        <w:t xml:space="preserve"> taken compensatory action</w:t>
      </w:r>
      <w:r w:rsidR="003B3F0E">
        <w:rPr>
          <w:rFonts w:ascii="Calibri" w:eastAsia="Calibri" w:hAnsi="Calibri" w:cs="Calibri"/>
          <w:sz w:val="22"/>
          <w:szCs w:val="22"/>
        </w:rPr>
        <w:t xml:space="preserve"> in the 2014 recruitment round by </w:t>
      </w:r>
      <w:r w:rsidR="00FF5ABF" w:rsidRPr="00FE21C3">
        <w:rPr>
          <w:rFonts w:ascii="Calibri" w:eastAsia="Calibri" w:hAnsi="Calibri" w:cs="Calibri"/>
          <w:sz w:val="22"/>
          <w:szCs w:val="22"/>
        </w:rPr>
        <w:t>recruiting to lower targets</w:t>
      </w:r>
      <w:r w:rsidR="003B3F0E">
        <w:rPr>
          <w:rFonts w:ascii="Calibri" w:eastAsia="Calibri" w:hAnsi="Calibri" w:cs="Calibri"/>
          <w:sz w:val="22"/>
          <w:szCs w:val="22"/>
        </w:rPr>
        <w:t>. It is</w:t>
      </w:r>
      <w:r w:rsidR="00FF5ABF" w:rsidRPr="00FE21C3">
        <w:rPr>
          <w:rFonts w:ascii="Calibri" w:eastAsia="Calibri" w:hAnsi="Calibri" w:cs="Calibri"/>
          <w:sz w:val="22"/>
          <w:szCs w:val="22"/>
        </w:rPr>
        <w:t xml:space="preserve"> therefore anticipate</w:t>
      </w:r>
      <w:r w:rsidR="003B3F0E">
        <w:rPr>
          <w:rFonts w:ascii="Calibri" w:eastAsia="Calibri" w:hAnsi="Calibri" w:cs="Calibri"/>
          <w:sz w:val="22"/>
          <w:szCs w:val="22"/>
        </w:rPr>
        <w:t>d</w:t>
      </w:r>
      <w:r w:rsidR="00FF5ABF" w:rsidRPr="00FE21C3">
        <w:rPr>
          <w:rFonts w:ascii="Calibri" w:eastAsia="Calibri" w:hAnsi="Calibri" w:cs="Calibri"/>
          <w:sz w:val="22"/>
          <w:szCs w:val="22"/>
        </w:rPr>
        <w:t xml:space="preserve"> </w:t>
      </w:r>
      <w:r w:rsidR="006A07D9">
        <w:rPr>
          <w:rFonts w:ascii="Calibri" w:eastAsia="Calibri" w:hAnsi="Calibri" w:cs="Calibri"/>
          <w:sz w:val="22"/>
          <w:szCs w:val="22"/>
        </w:rPr>
        <w:t xml:space="preserve">that </w:t>
      </w:r>
      <w:r w:rsidR="00FF5ABF" w:rsidRPr="00FE21C3">
        <w:rPr>
          <w:rFonts w:ascii="Calibri" w:eastAsia="Calibri" w:hAnsi="Calibri" w:cs="Calibri"/>
          <w:sz w:val="22"/>
          <w:szCs w:val="22"/>
        </w:rPr>
        <w:t>th</w:t>
      </w:r>
      <w:r w:rsidR="003B3F0E">
        <w:rPr>
          <w:rFonts w:ascii="Calibri" w:eastAsia="Calibri" w:hAnsi="Calibri" w:cs="Calibri"/>
          <w:sz w:val="22"/>
          <w:szCs w:val="22"/>
        </w:rPr>
        <w:t xml:space="preserve">e Core </w:t>
      </w:r>
      <w:r w:rsidR="00F62D80">
        <w:rPr>
          <w:rFonts w:ascii="Calibri" w:eastAsia="Calibri" w:hAnsi="Calibri" w:cs="Calibri"/>
          <w:sz w:val="22"/>
          <w:szCs w:val="22"/>
        </w:rPr>
        <w:t>Strategy</w:t>
      </w:r>
      <w:r w:rsidR="003B3F0E">
        <w:rPr>
          <w:rFonts w:ascii="Calibri" w:eastAsia="Calibri" w:hAnsi="Calibri" w:cs="Calibri"/>
          <w:sz w:val="22"/>
          <w:szCs w:val="22"/>
        </w:rPr>
        <w:t xml:space="preserve"> target will be met in the next monitoring year.</w:t>
      </w:r>
    </w:p>
    <w:p w:rsidR="0084711C" w:rsidRDefault="0084711C" w:rsidP="00EA5A77">
      <w:pPr>
        <w:autoSpaceDE w:val="0"/>
        <w:autoSpaceDN w:val="0"/>
        <w:adjustRightInd w:val="0"/>
        <w:jc w:val="both"/>
        <w:rPr>
          <w:rFonts w:ascii="Calibri" w:eastAsia="Calibri" w:hAnsi="Calibri" w:cs="Calibri"/>
          <w:sz w:val="22"/>
          <w:szCs w:val="22"/>
        </w:rPr>
      </w:pPr>
    </w:p>
    <w:p w:rsidR="000B1E6E" w:rsidRDefault="000B1E6E" w:rsidP="00EA5A77">
      <w:pPr>
        <w:autoSpaceDE w:val="0"/>
        <w:autoSpaceDN w:val="0"/>
        <w:adjustRightInd w:val="0"/>
        <w:jc w:val="both"/>
        <w:rPr>
          <w:rFonts w:asciiTheme="minorHAnsi" w:hAnsiTheme="minorHAnsi" w:cstheme="minorHAnsi"/>
          <w:sz w:val="22"/>
          <w:szCs w:val="22"/>
        </w:rPr>
      </w:pPr>
    </w:p>
    <w:p w:rsidR="00EA5A77" w:rsidRPr="00BA5884" w:rsidRDefault="00EA5A77" w:rsidP="00EA5A77">
      <w:pPr>
        <w:autoSpaceDE w:val="0"/>
        <w:autoSpaceDN w:val="0"/>
        <w:adjustRightInd w:val="0"/>
        <w:jc w:val="both"/>
        <w:rPr>
          <w:rFonts w:ascii="Calibri" w:eastAsia="Calibri" w:hAnsi="Calibri" w:cs="Calibri"/>
          <w:b/>
          <w:color w:val="984806" w:themeColor="accent6" w:themeShade="80"/>
          <w:sz w:val="28"/>
          <w:szCs w:val="28"/>
        </w:rPr>
      </w:pPr>
      <w:r w:rsidRPr="00C615C2">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85568" behindDoc="0" locked="0" layoutInCell="1" allowOverlap="1" wp14:anchorId="2D556ADD" wp14:editId="40F17242">
                <wp:simplePos x="0" y="0"/>
                <wp:positionH relativeFrom="column">
                  <wp:posOffset>3533140</wp:posOffset>
                </wp:positionH>
                <wp:positionV relativeFrom="paragraph">
                  <wp:posOffset>-626745</wp:posOffset>
                </wp:positionV>
                <wp:extent cx="2427605" cy="352425"/>
                <wp:effectExtent l="0" t="0" r="0" b="9525"/>
                <wp:wrapNone/>
                <wp:docPr id="131" name="Text Box 131"/>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EA5A77">
                            <w:pPr>
                              <w:jc w:val="right"/>
                              <w:rPr>
                                <w:b/>
                                <w:color w:val="984806" w:themeColor="accent6" w:themeShade="80"/>
                              </w:rPr>
                            </w:pPr>
                            <w:r w:rsidRPr="00280EB5">
                              <w:rPr>
                                <w:b/>
                                <w:color w:val="984806" w:themeColor="accent6" w:themeShade="80"/>
                              </w:rPr>
                              <w:t>Meeting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1" o:spid="_x0000_s1063" type="#_x0000_t202" style="position:absolute;left:0;text-align:left;margin-left:278.2pt;margin-top:-49.35pt;width:191.15pt;height:27.7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" fillcolor="window" stroked="f" strokeweight=".5pt">
                <v:textbox>
                  <w:txbxContent>
                    <w:p w:rsidR="000D3CFF" w:rsidRPr="00280EB5" w:rsidRDefault="000D3CFF" w:rsidP="00EA5A77">
                      <w:pPr>
                        <w:jc w:val="right"/>
                        <w:rPr>
                          <w:b/>
                          <w:color w:val="984806" w:themeColor="accent6" w:themeShade="80"/>
                        </w:rPr>
                      </w:pPr>
                      <w:r w:rsidRPr="00280EB5">
                        <w:rPr>
                          <w:b/>
                          <w:color w:val="984806" w:themeColor="accent6" w:themeShade="80"/>
                        </w:rPr>
                        <w:t>Meeting Housing Needs</w:t>
                      </w:r>
                    </w:p>
                  </w:txbxContent>
                </v:textbox>
              </v:shape>
            </w:pict>
          </mc:Fallback>
        </mc:AlternateContent>
      </w:r>
      <w:r w:rsidR="001E78F4">
        <w:rPr>
          <w:rFonts w:ascii="Calibri" w:eastAsia="Calibri" w:hAnsi="Calibri" w:cs="Calibri"/>
          <w:b/>
          <w:color w:val="984806" w:themeColor="accent6" w:themeShade="80"/>
          <w:sz w:val="28"/>
          <w:szCs w:val="28"/>
        </w:rPr>
        <w:t>Summary</w:t>
      </w:r>
      <w:r w:rsidRPr="00BA5884">
        <w:rPr>
          <w:rFonts w:ascii="Calibri" w:eastAsia="Calibri" w:hAnsi="Calibri" w:cs="Calibri"/>
          <w:b/>
          <w:color w:val="984806" w:themeColor="accent6" w:themeShade="80"/>
          <w:sz w:val="28"/>
          <w:szCs w:val="28"/>
        </w:rPr>
        <w:t>: Meeting Housing Needs</w:t>
      </w:r>
    </w:p>
    <w:p w:rsidR="00EA5A77" w:rsidRPr="004D1C02" w:rsidRDefault="00EA5A77" w:rsidP="00EA5A77">
      <w:pPr>
        <w:rPr>
          <w:rFonts w:asciiTheme="minorHAnsi" w:hAnsiTheme="minorHAnsi" w:cstheme="minorHAnsi"/>
          <w:sz w:val="22"/>
          <w:szCs w:val="22"/>
        </w:rPr>
      </w:pPr>
    </w:p>
    <w:tbl>
      <w:tblPr>
        <w:tblStyle w:val="TableGrid"/>
        <w:tblW w:w="0" w:type="auto"/>
        <w:tblInd w:w="95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2409"/>
        <w:gridCol w:w="2410"/>
        <w:gridCol w:w="2410"/>
      </w:tblGrid>
      <w:tr w:rsidR="00EA5A77" w:rsidRPr="00B42F30" w:rsidTr="00FB6EBA">
        <w:tc>
          <w:tcPr>
            <w:tcW w:w="2409" w:type="dxa"/>
            <w:shd w:val="clear" w:color="auto" w:fill="FBD4B4" w:themeFill="accent6" w:themeFillTint="66"/>
          </w:tcPr>
          <w:p w:rsidR="00EA5A77" w:rsidRDefault="00EA5A77" w:rsidP="00C119B9">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09B91CE1" wp14:editId="1D95A17B">
                  <wp:extent cx="946033" cy="284862"/>
                  <wp:effectExtent l="0" t="0" r="6985" b="1270"/>
                  <wp:docPr id="211" name="Picture 21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3" cy="289105"/>
                          </a:xfrm>
                          <a:prstGeom prst="rect">
                            <a:avLst/>
                          </a:prstGeom>
                          <a:noFill/>
                          <a:ln>
                            <a:noFill/>
                          </a:ln>
                        </pic:spPr>
                      </pic:pic>
                    </a:graphicData>
                  </a:graphic>
                </wp:inline>
              </w:drawing>
            </w:r>
          </w:p>
        </w:tc>
        <w:tc>
          <w:tcPr>
            <w:tcW w:w="2410" w:type="dxa"/>
            <w:shd w:val="clear" w:color="auto" w:fill="FBD4B4" w:themeFill="accent6" w:themeFillTint="66"/>
          </w:tcPr>
          <w:p w:rsidR="00EA5A77" w:rsidRDefault="00EA5A77" w:rsidP="00C119B9">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1060B8F0" wp14:editId="69A38D13">
                  <wp:extent cx="964729" cy="285750"/>
                  <wp:effectExtent l="0" t="0" r="6985" b="0"/>
                  <wp:docPr id="212" name="Picture 21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12" cy="290395"/>
                          </a:xfrm>
                          <a:prstGeom prst="rect">
                            <a:avLst/>
                          </a:prstGeom>
                          <a:noFill/>
                          <a:ln>
                            <a:noFill/>
                          </a:ln>
                        </pic:spPr>
                      </pic:pic>
                    </a:graphicData>
                  </a:graphic>
                </wp:inline>
              </w:drawing>
            </w:r>
          </w:p>
        </w:tc>
        <w:tc>
          <w:tcPr>
            <w:tcW w:w="2410" w:type="dxa"/>
            <w:shd w:val="clear" w:color="auto" w:fill="FBD4B4" w:themeFill="accent6" w:themeFillTint="66"/>
          </w:tcPr>
          <w:p w:rsidR="00EA5A77" w:rsidRPr="00D812A6" w:rsidRDefault="00EA5A77" w:rsidP="00C119B9">
            <w:pPr>
              <w:autoSpaceDE w:val="0"/>
              <w:autoSpaceDN w:val="0"/>
              <w:adjustRightInd w:val="0"/>
              <w:spacing w:before="60" w:after="60"/>
              <w:jc w:val="center"/>
              <w:rPr>
                <w:rFonts w:ascii="Calibri" w:eastAsia="Calibri" w:hAnsi="Calibri" w:cs="Calibri"/>
                <w:color w:val="000000"/>
                <w:sz w:val="22"/>
                <w:szCs w:val="22"/>
              </w:rPr>
            </w:pPr>
            <w:r>
              <w:rPr>
                <w:noProof/>
                <w:lang w:eastAsia="en-GB"/>
              </w:rPr>
              <w:drawing>
                <wp:inline distT="0" distB="0" distL="0" distR="0" wp14:anchorId="42681374" wp14:editId="2DBF2527">
                  <wp:extent cx="947738" cy="290513"/>
                  <wp:effectExtent l="0" t="0" r="5080" b="0"/>
                  <wp:docPr id="213" name="Picture 21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5386" cy="298988"/>
                          </a:xfrm>
                          <a:prstGeom prst="rect">
                            <a:avLst/>
                          </a:prstGeom>
                          <a:noFill/>
                          <a:ln>
                            <a:noFill/>
                          </a:ln>
                        </pic:spPr>
                      </pic:pic>
                    </a:graphicData>
                  </a:graphic>
                </wp:inline>
              </w:drawing>
            </w:r>
          </w:p>
        </w:tc>
      </w:tr>
      <w:tr w:rsidR="00EA5A77" w:rsidRPr="0067583C" w:rsidTr="00FB6EBA">
        <w:tc>
          <w:tcPr>
            <w:tcW w:w="2409" w:type="dxa"/>
            <w:shd w:val="clear" w:color="auto" w:fill="FBD4B4" w:themeFill="accent6" w:themeFillTint="66"/>
          </w:tcPr>
          <w:p w:rsidR="00EA5A77" w:rsidRPr="00F62D80" w:rsidRDefault="003E7829" w:rsidP="00C119B9">
            <w:pPr>
              <w:autoSpaceDE w:val="0"/>
              <w:autoSpaceDN w:val="0"/>
              <w:adjustRightInd w:val="0"/>
              <w:spacing w:before="60" w:after="60"/>
              <w:jc w:val="center"/>
              <w:rPr>
                <w:rFonts w:ascii="Calibri" w:eastAsia="Calibri" w:hAnsi="Calibri" w:cs="Calibri"/>
                <w:color w:val="000000"/>
                <w:sz w:val="22"/>
                <w:szCs w:val="22"/>
              </w:rPr>
            </w:pPr>
            <w:r w:rsidRPr="00F62D80">
              <w:rPr>
                <w:rFonts w:ascii="Calibri" w:eastAsia="Calibri" w:hAnsi="Calibri" w:cs="Calibri"/>
                <w:color w:val="000000"/>
                <w:sz w:val="22"/>
                <w:szCs w:val="22"/>
              </w:rPr>
              <w:t>1</w:t>
            </w:r>
            <w:r w:rsidR="00EA5A77" w:rsidRPr="00F62D80">
              <w:rPr>
                <w:rFonts w:ascii="Calibri" w:eastAsia="Calibri" w:hAnsi="Calibri" w:cs="Calibri"/>
                <w:color w:val="000000"/>
                <w:sz w:val="22"/>
                <w:szCs w:val="22"/>
              </w:rPr>
              <w:t xml:space="preserve"> (%)</w:t>
            </w:r>
          </w:p>
        </w:tc>
        <w:tc>
          <w:tcPr>
            <w:tcW w:w="2410" w:type="dxa"/>
            <w:shd w:val="clear" w:color="auto" w:fill="FBD4B4" w:themeFill="accent6" w:themeFillTint="66"/>
          </w:tcPr>
          <w:p w:rsidR="00EA5A77" w:rsidRPr="00F62D80" w:rsidRDefault="00F62D80" w:rsidP="00C119B9">
            <w:pPr>
              <w:autoSpaceDE w:val="0"/>
              <w:autoSpaceDN w:val="0"/>
              <w:adjustRightInd w:val="0"/>
              <w:spacing w:before="60" w:after="60"/>
              <w:jc w:val="center"/>
              <w:rPr>
                <w:rFonts w:ascii="Calibri" w:eastAsia="Calibri" w:hAnsi="Calibri" w:cs="Calibri"/>
                <w:color w:val="000000"/>
                <w:sz w:val="22"/>
                <w:szCs w:val="22"/>
              </w:rPr>
            </w:pPr>
            <w:r w:rsidRPr="00F62D80">
              <w:rPr>
                <w:rFonts w:ascii="Calibri" w:eastAsia="Calibri" w:hAnsi="Calibri" w:cs="Calibri"/>
                <w:color w:val="000000"/>
                <w:sz w:val="22"/>
                <w:szCs w:val="22"/>
              </w:rPr>
              <w:t>4</w:t>
            </w:r>
            <w:r w:rsidR="00EA5A77" w:rsidRPr="00F62D80">
              <w:rPr>
                <w:rFonts w:ascii="Calibri" w:eastAsia="Calibri" w:hAnsi="Calibri" w:cs="Calibri"/>
                <w:color w:val="000000"/>
                <w:sz w:val="22"/>
                <w:szCs w:val="22"/>
              </w:rPr>
              <w:t xml:space="preserve"> (%)</w:t>
            </w:r>
          </w:p>
        </w:tc>
        <w:tc>
          <w:tcPr>
            <w:tcW w:w="2410" w:type="dxa"/>
            <w:shd w:val="clear" w:color="auto" w:fill="FBD4B4" w:themeFill="accent6" w:themeFillTint="66"/>
          </w:tcPr>
          <w:p w:rsidR="00EA5A77" w:rsidRPr="00F62D80" w:rsidRDefault="003E7829" w:rsidP="00C119B9">
            <w:pPr>
              <w:autoSpaceDE w:val="0"/>
              <w:autoSpaceDN w:val="0"/>
              <w:adjustRightInd w:val="0"/>
              <w:spacing w:before="60" w:after="60"/>
              <w:jc w:val="center"/>
              <w:rPr>
                <w:rFonts w:ascii="Calibri" w:eastAsia="Calibri" w:hAnsi="Calibri" w:cs="Calibri"/>
                <w:color w:val="000000"/>
                <w:sz w:val="22"/>
                <w:szCs w:val="22"/>
              </w:rPr>
            </w:pPr>
            <w:r w:rsidRPr="00F62D80">
              <w:rPr>
                <w:rFonts w:ascii="Calibri" w:eastAsia="Calibri" w:hAnsi="Calibri" w:cs="Calibri"/>
                <w:color w:val="000000"/>
                <w:sz w:val="22"/>
                <w:szCs w:val="22"/>
              </w:rPr>
              <w:t>1</w:t>
            </w:r>
            <w:r w:rsidR="00EA5A77" w:rsidRPr="00F62D80">
              <w:rPr>
                <w:rFonts w:ascii="Calibri" w:eastAsia="Calibri" w:hAnsi="Calibri" w:cs="Calibri"/>
                <w:color w:val="000000"/>
                <w:sz w:val="22"/>
                <w:szCs w:val="22"/>
              </w:rPr>
              <w:t xml:space="preserve"> (%)</w:t>
            </w:r>
          </w:p>
        </w:tc>
      </w:tr>
    </w:tbl>
    <w:p w:rsidR="00EA5A77" w:rsidRPr="00D812A6" w:rsidRDefault="00EA5A77" w:rsidP="00EA5A77">
      <w:pPr>
        <w:jc w:val="center"/>
        <w:rPr>
          <w:rFonts w:ascii="Calibri" w:hAnsi="Calibri" w:cs="Calibri"/>
          <w:b/>
          <w:sz w:val="8"/>
          <w:szCs w:val="8"/>
        </w:rPr>
      </w:pPr>
    </w:p>
    <w:p w:rsidR="00EA5A77" w:rsidRDefault="00557661" w:rsidP="00557661">
      <w:pPr>
        <w:jc w:val="center"/>
        <w:rPr>
          <w:rFonts w:ascii="Calibri" w:hAnsi="Calibri" w:cs="Calibri"/>
          <w:sz w:val="20"/>
        </w:rPr>
      </w:pPr>
      <w:r>
        <w:rPr>
          <w:rFonts w:ascii="Calibri" w:hAnsi="Calibri" w:cs="Calibri"/>
          <w:b/>
          <w:sz w:val="20"/>
        </w:rPr>
        <w:t xml:space="preserve">Figure </w:t>
      </w:r>
      <w:r w:rsidR="008B306D">
        <w:rPr>
          <w:rFonts w:ascii="Calibri" w:hAnsi="Calibri" w:cs="Calibri"/>
          <w:b/>
          <w:sz w:val="20"/>
        </w:rPr>
        <w:t>20</w:t>
      </w:r>
      <w:r w:rsidR="00EA5A77" w:rsidRPr="005C674B">
        <w:rPr>
          <w:rFonts w:ascii="Calibri" w:hAnsi="Calibri" w:cs="Calibri"/>
          <w:sz w:val="20"/>
        </w:rPr>
        <w:t xml:space="preserve">: </w:t>
      </w:r>
      <w:r w:rsidR="00EA5A77">
        <w:rPr>
          <w:rFonts w:ascii="Calibri" w:hAnsi="Calibri" w:cs="Calibri"/>
          <w:sz w:val="20"/>
        </w:rPr>
        <w:t>Summary of performance against housing in</w:t>
      </w:r>
      <w:r>
        <w:rPr>
          <w:rFonts w:ascii="Calibri" w:hAnsi="Calibri" w:cs="Calibri"/>
          <w:sz w:val="20"/>
        </w:rPr>
        <w:t xml:space="preserve">dicators in 2013/14 </w:t>
      </w:r>
    </w:p>
    <w:p w:rsidR="00557661" w:rsidRPr="00557661" w:rsidRDefault="00557661" w:rsidP="00557661">
      <w:pPr>
        <w:jc w:val="center"/>
        <w:rPr>
          <w:rFonts w:ascii="Calibri" w:hAnsi="Calibri" w:cs="Calibri"/>
          <w:sz w:val="20"/>
        </w:rPr>
      </w:pPr>
    </w:p>
    <w:p w:rsidR="00EA5A77" w:rsidRDefault="00AC33B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There continues to be significant demand for new housing in the </w:t>
      </w:r>
      <w:r w:rsidR="003161C9" w:rsidRPr="00EA5A77">
        <w:rPr>
          <w:rFonts w:ascii="Calibri" w:eastAsia="Calibri" w:hAnsi="Calibri" w:cs="Calibri"/>
          <w:sz w:val="22"/>
          <w:szCs w:val="22"/>
        </w:rPr>
        <w:t>city</w:t>
      </w:r>
      <w:r w:rsidRPr="00EA5A77">
        <w:rPr>
          <w:rFonts w:ascii="Calibri" w:eastAsia="Calibri" w:hAnsi="Calibri" w:cs="Calibri"/>
          <w:sz w:val="22"/>
          <w:szCs w:val="22"/>
        </w:rPr>
        <w:t xml:space="preserve"> and meeting housing needs is one of the City Council’s </w:t>
      </w:r>
      <w:r w:rsidR="00612E7F">
        <w:rPr>
          <w:rFonts w:ascii="Calibri" w:eastAsia="Calibri" w:hAnsi="Calibri" w:cs="Calibri"/>
          <w:sz w:val="22"/>
          <w:szCs w:val="22"/>
        </w:rPr>
        <w:t xml:space="preserve">top </w:t>
      </w:r>
      <w:r w:rsidRPr="00EA5A77">
        <w:rPr>
          <w:rFonts w:ascii="Calibri" w:eastAsia="Calibri" w:hAnsi="Calibri" w:cs="Calibri"/>
          <w:sz w:val="22"/>
          <w:szCs w:val="22"/>
        </w:rPr>
        <w:t xml:space="preserve">priorities. However, </w:t>
      </w:r>
      <w:r w:rsidR="00612E7F">
        <w:rPr>
          <w:rFonts w:ascii="Calibri" w:eastAsia="Calibri" w:hAnsi="Calibri" w:cs="Calibri"/>
          <w:sz w:val="22"/>
          <w:szCs w:val="22"/>
        </w:rPr>
        <w:t>Oxford</w:t>
      </w:r>
      <w:r w:rsidRPr="00EA5A77">
        <w:rPr>
          <w:rFonts w:ascii="Calibri" w:eastAsia="Calibri" w:hAnsi="Calibri" w:cs="Calibri"/>
          <w:sz w:val="22"/>
          <w:szCs w:val="22"/>
        </w:rPr>
        <w:t xml:space="preserve"> faces a number of challenges and constraints in being able to bring forward new housing, as reflected by the number of h</w:t>
      </w:r>
      <w:r w:rsidR="003E7829">
        <w:rPr>
          <w:rFonts w:ascii="Calibri" w:eastAsia="Calibri" w:hAnsi="Calibri" w:cs="Calibri"/>
          <w:sz w:val="22"/>
          <w:szCs w:val="22"/>
        </w:rPr>
        <w:t xml:space="preserve">ousing indictors that scored </w:t>
      </w:r>
      <w:r w:rsidRPr="00EA5A77">
        <w:rPr>
          <w:rFonts w:ascii="Calibri" w:eastAsia="Calibri" w:hAnsi="Calibri" w:cs="Calibri"/>
          <w:sz w:val="22"/>
          <w:szCs w:val="22"/>
        </w:rPr>
        <w:t>amber</w:t>
      </w:r>
      <w:r w:rsidR="003E7829">
        <w:rPr>
          <w:rFonts w:ascii="Calibri" w:eastAsia="Calibri" w:hAnsi="Calibri" w:cs="Calibri"/>
          <w:sz w:val="22"/>
          <w:szCs w:val="22"/>
        </w:rPr>
        <w:t xml:space="preserve"> or red</w:t>
      </w:r>
      <w:r w:rsidRPr="00EA5A77">
        <w:rPr>
          <w:rFonts w:ascii="Calibri" w:eastAsia="Calibri" w:hAnsi="Calibri" w:cs="Calibri"/>
          <w:sz w:val="22"/>
          <w:szCs w:val="22"/>
        </w:rPr>
        <w:t xml:space="preserve"> rating</w:t>
      </w:r>
      <w:r w:rsidR="003E7829">
        <w:rPr>
          <w:rFonts w:ascii="Calibri" w:eastAsia="Calibri" w:hAnsi="Calibri" w:cs="Calibri"/>
          <w:sz w:val="22"/>
          <w:szCs w:val="22"/>
        </w:rPr>
        <w:t>s</w:t>
      </w:r>
      <w:r w:rsidRPr="00EA5A77">
        <w:rPr>
          <w:rFonts w:ascii="Calibri" w:eastAsia="Calibri" w:hAnsi="Calibri" w:cs="Calibri"/>
          <w:sz w:val="22"/>
          <w:szCs w:val="22"/>
        </w:rPr>
        <w:t xml:space="preserve">. </w:t>
      </w:r>
    </w:p>
    <w:p w:rsidR="00EA5A77" w:rsidRDefault="00AC33B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Performance against indicators in 2013/14 </w:t>
      </w:r>
      <w:r w:rsidR="00EA5A77">
        <w:rPr>
          <w:rFonts w:ascii="Calibri" w:eastAsia="Calibri" w:hAnsi="Calibri" w:cs="Calibri"/>
          <w:sz w:val="22"/>
          <w:szCs w:val="22"/>
        </w:rPr>
        <w:t>has highlighted some key trends:</w:t>
      </w:r>
    </w:p>
    <w:p w:rsidR="00EA5A77" w:rsidRDefault="00EA5A77" w:rsidP="004335B5">
      <w:pPr>
        <w:pStyle w:val="ListParagraph"/>
        <w:numPr>
          <w:ilvl w:val="0"/>
          <w:numId w:val="25"/>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100% of housing delivered was on previously developed land (when taken to include garden land as when the Core Strategy was adopted).</w:t>
      </w:r>
    </w:p>
    <w:p w:rsidR="00EA5A77" w:rsidRDefault="00EA5A77" w:rsidP="004335B5">
      <w:pPr>
        <w:pStyle w:val="ListParagraph"/>
        <w:numPr>
          <w:ilvl w:val="0"/>
          <w:numId w:val="25"/>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There has been a significant increase in the proportion of housing delivered on garden land (37.7% of all residential completions in 2013/14). </w:t>
      </w:r>
    </w:p>
    <w:p w:rsidR="00EA5A77" w:rsidRDefault="00EA5A77" w:rsidP="004335B5">
      <w:pPr>
        <w:pStyle w:val="ListParagraph"/>
        <w:numPr>
          <w:ilvl w:val="0"/>
          <w:numId w:val="25"/>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61.8% of dwellings completed were 1 bedroom, the highest proportion in recent years. </w:t>
      </w:r>
    </w:p>
    <w:p w:rsidR="00EA5A77" w:rsidRPr="00EA5A77" w:rsidRDefault="00EA5A77" w:rsidP="004335B5">
      <w:pPr>
        <w:pStyle w:val="ListParagraph"/>
        <w:numPr>
          <w:ilvl w:val="0"/>
          <w:numId w:val="25"/>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A greater mix of 2, 3 and 4+ bedroom dwellings were delivered than in </w:t>
      </w:r>
      <w:r w:rsidR="0087277D">
        <w:rPr>
          <w:rFonts w:ascii="Calibri" w:eastAsia="Calibri" w:hAnsi="Calibri" w:cs="Calibri"/>
          <w:sz w:val="22"/>
          <w:szCs w:val="22"/>
        </w:rPr>
        <w:t>recent</w:t>
      </w:r>
      <w:r w:rsidRPr="00EA5A77">
        <w:rPr>
          <w:rFonts w:ascii="Calibri" w:eastAsia="Calibri" w:hAnsi="Calibri" w:cs="Calibri"/>
          <w:sz w:val="22"/>
          <w:szCs w:val="22"/>
        </w:rPr>
        <w:t xml:space="preserve"> years.</w:t>
      </w:r>
    </w:p>
    <w:p w:rsidR="00EA5A77" w:rsidRDefault="00EA5A77"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T</w:t>
      </w:r>
      <w:r w:rsidR="00D43122" w:rsidRPr="00EA5A77">
        <w:rPr>
          <w:rFonts w:ascii="Calibri" w:eastAsia="Calibri" w:hAnsi="Calibri" w:cs="Calibri"/>
          <w:sz w:val="22"/>
          <w:szCs w:val="22"/>
        </w:rPr>
        <w:t>he majority of residential developments completed in 2013/14 were small scale, with none delivering 10 or more dwellings. The requirements of the Balance of Dwellings (</w:t>
      </w:r>
      <w:proofErr w:type="spellStart"/>
      <w:r w:rsidR="00D43122" w:rsidRPr="00EA5A77">
        <w:rPr>
          <w:rFonts w:ascii="Calibri" w:eastAsia="Calibri" w:hAnsi="Calibri" w:cs="Calibri"/>
          <w:sz w:val="22"/>
          <w:szCs w:val="22"/>
        </w:rPr>
        <w:t>BoDs</w:t>
      </w:r>
      <w:proofErr w:type="spellEnd"/>
      <w:r w:rsidR="00D43122" w:rsidRPr="00EA5A77">
        <w:rPr>
          <w:rFonts w:ascii="Calibri" w:eastAsia="Calibri" w:hAnsi="Calibri" w:cs="Calibri"/>
          <w:sz w:val="22"/>
          <w:szCs w:val="22"/>
        </w:rPr>
        <w:t>) SPD only apply to sites of 4 or more residential units in certain areas, and therefore many of the applications would not have needed to comply with these targets, hence the large proportion of one bedroom dwellings delivered.</w:t>
      </w:r>
    </w:p>
    <w:p w:rsidR="00EA5A77" w:rsidRDefault="00D4312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 xml:space="preserve">Only 5 sites met the thresholds for applying the </w:t>
      </w:r>
      <w:proofErr w:type="spellStart"/>
      <w:r w:rsidRPr="00EA5A77">
        <w:rPr>
          <w:rFonts w:ascii="Calibri" w:eastAsia="Calibri" w:hAnsi="Calibri" w:cs="Calibri"/>
          <w:sz w:val="22"/>
          <w:szCs w:val="22"/>
        </w:rPr>
        <w:t>BoDs</w:t>
      </w:r>
      <w:proofErr w:type="spellEnd"/>
      <w:r w:rsidRPr="00EA5A77">
        <w:rPr>
          <w:rFonts w:ascii="Calibri" w:eastAsia="Calibri" w:hAnsi="Calibri" w:cs="Calibri"/>
          <w:sz w:val="22"/>
          <w:szCs w:val="22"/>
        </w:rPr>
        <w:t xml:space="preserve"> SPD. Of these, none were in full compliance, although 40% were within 5% of the targets. Full details of the 3 applications that did not comply with the </w:t>
      </w:r>
      <w:proofErr w:type="spellStart"/>
      <w:r w:rsidRPr="00EA5A77">
        <w:rPr>
          <w:rFonts w:ascii="Calibri" w:eastAsia="Calibri" w:hAnsi="Calibri" w:cs="Calibri"/>
          <w:sz w:val="22"/>
          <w:szCs w:val="22"/>
        </w:rPr>
        <w:t>BoDs</w:t>
      </w:r>
      <w:proofErr w:type="spellEnd"/>
      <w:r w:rsidRPr="00EA5A77">
        <w:rPr>
          <w:rFonts w:ascii="Calibri" w:eastAsia="Calibri" w:hAnsi="Calibri" w:cs="Calibri"/>
          <w:sz w:val="22"/>
          <w:szCs w:val="22"/>
        </w:rPr>
        <w:t xml:space="preserve"> SPD are given in paragraph 3.11. It is clear that in two cases there were specific circumstances that meant that </w:t>
      </w:r>
      <w:proofErr w:type="spellStart"/>
      <w:r w:rsidRPr="00EA5A77">
        <w:rPr>
          <w:rFonts w:ascii="Calibri" w:eastAsia="Calibri" w:hAnsi="Calibri" w:cs="Calibri"/>
          <w:sz w:val="22"/>
          <w:szCs w:val="22"/>
        </w:rPr>
        <w:t>BoDs</w:t>
      </w:r>
      <w:proofErr w:type="spellEnd"/>
      <w:r w:rsidRPr="00EA5A77">
        <w:rPr>
          <w:rFonts w:ascii="Calibri" w:eastAsia="Calibri" w:hAnsi="Calibri" w:cs="Calibri"/>
          <w:sz w:val="22"/>
          <w:szCs w:val="22"/>
        </w:rPr>
        <w:t xml:space="preserve"> was not complied with. The other case was only just outside of the 5% margin of meeting the requirements.</w:t>
      </w:r>
    </w:p>
    <w:p w:rsidR="00EA5A77" w:rsidRDefault="00D43122" w:rsidP="004335B5">
      <w:pPr>
        <w:numPr>
          <w:ilvl w:val="1"/>
          <w:numId w:val="9"/>
        </w:numPr>
        <w:autoSpaceDE w:val="0"/>
        <w:autoSpaceDN w:val="0"/>
        <w:adjustRightInd w:val="0"/>
        <w:spacing w:after="200" w:line="276" w:lineRule="auto"/>
        <w:jc w:val="both"/>
        <w:rPr>
          <w:rFonts w:ascii="Calibri" w:eastAsia="Calibri" w:hAnsi="Calibri" w:cs="Calibri"/>
          <w:sz w:val="22"/>
          <w:szCs w:val="22"/>
        </w:rPr>
      </w:pPr>
      <w:r w:rsidRPr="00EA5A77">
        <w:rPr>
          <w:rFonts w:ascii="Calibri" w:eastAsia="Calibri" w:hAnsi="Calibri" w:cs="Calibri"/>
          <w:sz w:val="22"/>
          <w:szCs w:val="22"/>
        </w:rPr>
        <w:t>Although it is disappointing that there were no affordable housing completions during the monitoring year, this was not unexpected</w:t>
      </w:r>
      <w:r w:rsidR="001D0D4C" w:rsidRPr="00EA5A77">
        <w:rPr>
          <w:rFonts w:ascii="Calibri" w:eastAsia="Calibri" w:hAnsi="Calibri" w:cs="Calibri"/>
          <w:sz w:val="22"/>
          <w:szCs w:val="22"/>
        </w:rPr>
        <w:t>. T</w:t>
      </w:r>
      <w:r w:rsidRPr="00EA5A77">
        <w:rPr>
          <w:rFonts w:ascii="Calibri" w:eastAsia="Calibri" w:hAnsi="Calibri" w:cs="Calibri"/>
          <w:sz w:val="22"/>
          <w:szCs w:val="22"/>
        </w:rPr>
        <w:t xml:space="preserve">here were no permissions granted </w:t>
      </w:r>
      <w:r w:rsidR="001D0D4C" w:rsidRPr="00EA5A77">
        <w:rPr>
          <w:rFonts w:ascii="Calibri" w:eastAsia="Calibri" w:hAnsi="Calibri" w:cs="Calibri"/>
          <w:sz w:val="22"/>
          <w:szCs w:val="22"/>
        </w:rPr>
        <w:t xml:space="preserve">for affordable housing </w:t>
      </w:r>
      <w:r w:rsidRPr="00EA5A77">
        <w:rPr>
          <w:rFonts w:ascii="Calibri" w:eastAsia="Calibri" w:hAnsi="Calibri" w:cs="Calibri"/>
          <w:sz w:val="22"/>
          <w:szCs w:val="22"/>
        </w:rPr>
        <w:t>in</w:t>
      </w:r>
      <w:r w:rsidR="001D0D4C" w:rsidRPr="00EA5A77">
        <w:rPr>
          <w:rFonts w:ascii="Calibri" w:eastAsia="Calibri" w:hAnsi="Calibri" w:cs="Calibri"/>
          <w:sz w:val="22"/>
          <w:szCs w:val="22"/>
        </w:rPr>
        <w:t xml:space="preserve"> the previous monitoring year and t</w:t>
      </w:r>
      <w:r w:rsidRPr="00EA5A77">
        <w:rPr>
          <w:rFonts w:ascii="Calibri" w:eastAsia="Calibri" w:hAnsi="Calibri" w:cs="Calibri"/>
          <w:sz w:val="22"/>
          <w:szCs w:val="22"/>
        </w:rPr>
        <w:t xml:space="preserve">he Corporate Plan target </w:t>
      </w:r>
      <w:r w:rsidR="001D0D4C" w:rsidRPr="00EA5A77">
        <w:rPr>
          <w:rFonts w:ascii="Calibri" w:eastAsia="Calibri" w:hAnsi="Calibri" w:cs="Calibri"/>
          <w:sz w:val="22"/>
          <w:szCs w:val="22"/>
        </w:rPr>
        <w:t>for 2013/14 was</w:t>
      </w:r>
      <w:r w:rsidRPr="00EA5A77">
        <w:rPr>
          <w:rFonts w:ascii="Calibri" w:eastAsia="Calibri" w:hAnsi="Calibri" w:cs="Calibri"/>
          <w:sz w:val="22"/>
          <w:szCs w:val="22"/>
        </w:rPr>
        <w:t xml:space="preserve"> relatively low</w:t>
      </w:r>
      <w:r w:rsidR="001D0D4C" w:rsidRPr="00EA5A77">
        <w:rPr>
          <w:rFonts w:ascii="Calibri" w:eastAsia="Calibri" w:hAnsi="Calibri" w:cs="Calibri"/>
          <w:sz w:val="22"/>
          <w:szCs w:val="22"/>
        </w:rPr>
        <w:t>,</w:t>
      </w:r>
      <w:r w:rsidRPr="00EA5A77">
        <w:rPr>
          <w:rFonts w:ascii="Calibri" w:eastAsia="Calibri" w:hAnsi="Calibri" w:cs="Calibri"/>
          <w:sz w:val="22"/>
          <w:szCs w:val="22"/>
        </w:rPr>
        <w:t xml:space="preserve"> at only 4 units. Affordable housing delivery is expected to rise in subsequent years as planning permission was granted for 599 (gross) affordable homes during the monitoring year, representing a potential net gain of 493 affordable dwellings if all schemes are implemented. 220 of these homes (114 net) are proposed on Oxford City Council sites.  A further 354 affordable homes have been granted outline permission at the Barton Strategic site, a joint venture between the City Council and </w:t>
      </w:r>
      <w:r w:rsidR="005D092E">
        <w:rPr>
          <w:rFonts w:ascii="Calibri" w:eastAsia="Calibri" w:hAnsi="Calibri" w:cs="Calibri"/>
          <w:sz w:val="22"/>
          <w:szCs w:val="22"/>
        </w:rPr>
        <w:t xml:space="preserve">a private developer. </w:t>
      </w:r>
      <w:proofErr w:type="gramStart"/>
      <w:r w:rsidR="005D092E">
        <w:rPr>
          <w:rFonts w:ascii="Calibri" w:eastAsia="Calibri" w:hAnsi="Calibri" w:cs="Calibri"/>
          <w:sz w:val="22"/>
          <w:szCs w:val="22"/>
        </w:rPr>
        <w:t>The 2014-</w:t>
      </w:r>
      <w:r w:rsidRPr="00EA5A77">
        <w:rPr>
          <w:rFonts w:ascii="Calibri" w:eastAsia="Calibri" w:hAnsi="Calibri" w:cs="Calibri"/>
          <w:sz w:val="22"/>
          <w:szCs w:val="22"/>
        </w:rPr>
        <w:t>18 Corporate Plan</w:t>
      </w:r>
      <w:proofErr w:type="gramEnd"/>
      <w:r w:rsidRPr="00EA5A77">
        <w:rPr>
          <w:rFonts w:ascii="Calibri" w:eastAsia="Calibri" w:hAnsi="Calibri" w:cs="Calibri"/>
          <w:sz w:val="22"/>
          <w:szCs w:val="22"/>
        </w:rPr>
        <w:t xml:space="preserve"> sets a higher target of 180 affordable h</w:t>
      </w:r>
      <w:r w:rsidR="003E7829">
        <w:rPr>
          <w:rFonts w:ascii="Calibri" w:eastAsia="Calibri" w:hAnsi="Calibri" w:cs="Calibri"/>
          <w:sz w:val="22"/>
          <w:szCs w:val="22"/>
        </w:rPr>
        <w:t>omes to be delivered in 2014/15, reflecting</w:t>
      </w:r>
      <w:r w:rsidR="005D092E">
        <w:rPr>
          <w:rFonts w:ascii="Calibri" w:eastAsia="Calibri" w:hAnsi="Calibri" w:cs="Calibri"/>
          <w:sz w:val="22"/>
          <w:szCs w:val="22"/>
        </w:rPr>
        <w:t xml:space="preserve"> expectations that affordable housing delivery is set to increase in subsequent monitoring years.</w:t>
      </w:r>
    </w:p>
    <w:p w:rsidR="0084711C" w:rsidRDefault="0084711C" w:rsidP="00A31762">
      <w:pPr>
        <w:rPr>
          <w:b/>
          <w:color w:val="632423" w:themeColor="accent2" w:themeShade="80"/>
          <w:sz w:val="28"/>
        </w:rPr>
      </w:pPr>
    </w:p>
    <w:p w:rsidR="0084711C" w:rsidRDefault="0084711C" w:rsidP="00A31762">
      <w:pPr>
        <w:rPr>
          <w:b/>
          <w:color w:val="632423" w:themeColor="accent2" w:themeShade="80"/>
          <w:sz w:val="28"/>
        </w:rPr>
      </w:pPr>
    </w:p>
    <w:p w:rsidR="00BA5884" w:rsidRDefault="00280EB5" w:rsidP="00A31762">
      <w:pPr>
        <w:rPr>
          <w:b/>
          <w:color w:val="632423" w:themeColor="accent2" w:themeShade="80"/>
          <w:sz w:val="28"/>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54496" behindDoc="0" locked="0" layoutInCell="1" allowOverlap="1" wp14:anchorId="1901251C" wp14:editId="5BF951C7">
                <wp:simplePos x="0" y="0"/>
                <wp:positionH relativeFrom="column">
                  <wp:posOffset>3394213</wp:posOffset>
                </wp:positionH>
                <wp:positionV relativeFrom="paragraph">
                  <wp:posOffset>-554990</wp:posOffset>
                </wp:positionV>
                <wp:extent cx="2427605" cy="3524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0EB5">
                            <w:pPr>
                              <w:jc w:val="right"/>
                              <w:rPr>
                                <w:b/>
                                <w:color w:val="632423" w:themeColor="accent2" w:themeShade="80"/>
                              </w:rPr>
                            </w:pPr>
                            <w:r w:rsidRPr="00280EB5">
                              <w:rPr>
                                <w:b/>
                                <w:color w:val="632423" w:themeColor="accent2" w:themeShade="80"/>
                              </w:rPr>
                              <w:t>Strong, Active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64" type="#_x0000_t202" style="position:absolute;margin-left:267.25pt;margin-top:-43.7pt;width:191.15pt;height:27.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kzUgIAAKI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" fillcolor="window" stroked="f" strokeweight=".5pt">
                <v:textbox>
                  <w:txbxContent>
                    <w:p w:rsidR="000D3CFF" w:rsidRPr="00280EB5" w:rsidRDefault="000D3CFF" w:rsidP="00280EB5">
                      <w:pPr>
                        <w:jc w:val="right"/>
                        <w:rPr>
                          <w:b/>
                          <w:color w:val="632423" w:themeColor="accent2" w:themeShade="80"/>
                        </w:rPr>
                      </w:pPr>
                      <w:r w:rsidRPr="00280EB5">
                        <w:rPr>
                          <w:b/>
                          <w:color w:val="632423" w:themeColor="accent2" w:themeShade="80"/>
                        </w:rPr>
                        <w:t>Strong, Active Communities</w:t>
                      </w:r>
                    </w:p>
                  </w:txbxContent>
                </v:textbox>
              </v:shape>
            </w:pict>
          </mc:Fallback>
        </mc:AlternateContent>
      </w:r>
      <w:r w:rsidR="00BA5884">
        <w:rPr>
          <w:b/>
          <w:color w:val="632423" w:themeColor="accent2" w:themeShade="80"/>
          <w:sz w:val="28"/>
        </w:rPr>
        <w:t>Strong Active Communities</w:t>
      </w:r>
    </w:p>
    <w:p w:rsidR="00BA5884" w:rsidRPr="00BA5884" w:rsidRDefault="00BA5884" w:rsidP="00A31762">
      <w:pPr>
        <w:rPr>
          <w:b/>
          <w:color w:val="632423" w:themeColor="accent2" w:themeShade="80"/>
          <w:sz w:val="28"/>
        </w:rPr>
      </w:pPr>
    </w:p>
    <w:p w:rsidR="00BA5884" w:rsidRPr="00BA5884" w:rsidRDefault="000612B6" w:rsidP="00BA5884">
      <w:pPr>
        <w:autoSpaceDE w:val="0"/>
        <w:autoSpaceDN w:val="0"/>
        <w:adjustRightInd w:val="0"/>
        <w:jc w:val="both"/>
        <w:rPr>
          <w:rFonts w:ascii="Calibri" w:eastAsia="Calibri" w:hAnsi="Calibri" w:cs="Calibri"/>
          <w:color w:val="632423" w:themeColor="accent2" w:themeShade="80"/>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96128" behindDoc="1" locked="0" layoutInCell="1" allowOverlap="1" wp14:anchorId="06C31863" wp14:editId="058B4052">
                <wp:simplePos x="0" y="0"/>
                <wp:positionH relativeFrom="column">
                  <wp:posOffset>-38100</wp:posOffset>
                </wp:positionH>
                <wp:positionV relativeFrom="paragraph">
                  <wp:posOffset>635</wp:posOffset>
                </wp:positionV>
                <wp:extent cx="5776595" cy="1714500"/>
                <wp:effectExtent l="0" t="0" r="0" b="0"/>
                <wp:wrapNone/>
                <wp:docPr id="106" name="Rectangle 106"/>
                <wp:cNvGraphicFramePr/>
                <a:graphic xmlns:a="http://schemas.openxmlformats.org/drawingml/2006/main">
                  <a:graphicData uri="http://schemas.microsoft.com/office/word/2010/wordprocessingShape">
                    <wps:wsp>
                      <wps:cNvSpPr/>
                      <wps:spPr>
                        <a:xfrm>
                          <a:off x="0" y="0"/>
                          <a:ext cx="5776595" cy="1714500"/>
                        </a:xfrm>
                        <a:prstGeom prst="rect">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3pt;margin-top:.05pt;width:454.85pt;height: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" fillcolor="#f2dcdb" stroked="f" strokeweight="2pt"/>
            </w:pict>
          </mc:Fallback>
        </mc:AlternateContent>
      </w:r>
      <w:r w:rsidR="00BA5884" w:rsidRPr="00BA5884">
        <w:rPr>
          <w:rFonts w:ascii="Calibri" w:eastAsia="Calibri" w:hAnsi="Calibri" w:cs="Calibri"/>
          <w:b/>
          <w:color w:val="632423" w:themeColor="accent2" w:themeShade="80"/>
        </w:rPr>
        <w:t>Indicator 1</w:t>
      </w:r>
      <w:r w:rsidR="007D5EE3">
        <w:rPr>
          <w:rFonts w:ascii="Calibri" w:eastAsia="Calibri" w:hAnsi="Calibri" w:cs="Calibri"/>
          <w:b/>
          <w:color w:val="632423" w:themeColor="accent2" w:themeShade="80"/>
        </w:rPr>
        <w:t>7:</w:t>
      </w:r>
      <w:r w:rsidR="00BA5884" w:rsidRPr="00BA5884">
        <w:rPr>
          <w:rFonts w:ascii="Calibri" w:eastAsia="Calibri" w:hAnsi="Calibri" w:cs="Calibri"/>
          <w:b/>
          <w:color w:val="632423" w:themeColor="accent2" w:themeShade="80"/>
        </w:rPr>
        <w:t xml:space="preserve"> </w:t>
      </w:r>
      <w:r w:rsidR="007D5EE3">
        <w:rPr>
          <w:rFonts w:ascii="Calibri" w:eastAsia="Calibri" w:hAnsi="Calibri" w:cs="Calibri"/>
          <w:b/>
          <w:color w:val="632423" w:themeColor="accent2" w:themeShade="80"/>
        </w:rPr>
        <w:t>PROGRESS AGAINST SITE-SPECIFIC REGENERATION MEASURES</w:t>
      </w:r>
    </w:p>
    <w:p w:rsidR="00BA5884" w:rsidRPr="00BA5884" w:rsidRDefault="00BA5884" w:rsidP="00BA5884">
      <w:pPr>
        <w:autoSpaceDE w:val="0"/>
        <w:autoSpaceDN w:val="0"/>
        <w:adjustRightInd w:val="0"/>
        <w:jc w:val="both"/>
        <w:rPr>
          <w:rFonts w:ascii="Calibri" w:eastAsia="Calibri" w:hAnsi="Calibri" w:cs="Calibri"/>
          <w:b/>
          <w:color w:val="632423" w:themeColor="accent2" w:themeShade="80"/>
          <w:sz w:val="10"/>
          <w:szCs w:val="22"/>
        </w:rPr>
      </w:pPr>
    </w:p>
    <w:p w:rsidR="0028433A" w:rsidRDefault="00BA5884" w:rsidP="0028433A">
      <w:pPr>
        <w:autoSpaceDE w:val="0"/>
        <w:autoSpaceDN w:val="0"/>
        <w:adjustRightInd w:val="0"/>
        <w:jc w:val="both"/>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 xml:space="preserve">Target: </w:t>
      </w:r>
      <w:r w:rsidR="007D5EE3" w:rsidRPr="0028433A">
        <w:rPr>
          <w:rFonts w:ascii="Calibri" w:eastAsia="Calibri" w:hAnsi="Calibri" w:cs="Calibri"/>
          <w:b/>
          <w:i/>
          <w:color w:val="632423" w:themeColor="accent2" w:themeShade="80"/>
          <w:sz w:val="22"/>
          <w:szCs w:val="22"/>
        </w:rPr>
        <w:t xml:space="preserve">Individual targets </w:t>
      </w:r>
      <w:r w:rsidR="0028433A" w:rsidRPr="0028433A">
        <w:rPr>
          <w:rFonts w:ascii="Calibri" w:eastAsia="Calibri" w:hAnsi="Calibri" w:cs="Calibri"/>
          <w:b/>
          <w:i/>
          <w:color w:val="632423" w:themeColor="accent2" w:themeShade="80"/>
          <w:sz w:val="22"/>
          <w:szCs w:val="22"/>
        </w:rPr>
        <w:t xml:space="preserve">have been </w:t>
      </w:r>
      <w:r w:rsidR="007D5EE3" w:rsidRPr="0028433A">
        <w:rPr>
          <w:rFonts w:ascii="Calibri" w:eastAsia="Calibri" w:hAnsi="Calibri" w:cs="Calibri"/>
          <w:b/>
          <w:i/>
          <w:color w:val="632423" w:themeColor="accent2" w:themeShade="80"/>
          <w:sz w:val="22"/>
          <w:szCs w:val="22"/>
        </w:rPr>
        <w:t xml:space="preserve">set for </w:t>
      </w:r>
      <w:r w:rsidR="00410F5D" w:rsidRPr="0028433A">
        <w:rPr>
          <w:rFonts w:ascii="Calibri" w:eastAsia="Calibri" w:hAnsi="Calibri" w:cs="Calibri"/>
          <w:b/>
          <w:i/>
          <w:color w:val="632423" w:themeColor="accent2" w:themeShade="80"/>
          <w:sz w:val="22"/>
          <w:szCs w:val="22"/>
        </w:rPr>
        <w:t>each priority</w:t>
      </w:r>
      <w:r w:rsidR="0028433A" w:rsidRPr="0028433A">
        <w:rPr>
          <w:rFonts w:ascii="Calibri" w:eastAsia="Calibri" w:hAnsi="Calibri" w:cs="Calibri"/>
          <w:b/>
          <w:i/>
          <w:color w:val="632423" w:themeColor="accent2" w:themeShade="80"/>
          <w:sz w:val="22"/>
          <w:szCs w:val="22"/>
        </w:rPr>
        <w:t xml:space="preserve"> regeneration</w:t>
      </w:r>
      <w:r w:rsidR="000E5B69">
        <w:rPr>
          <w:rFonts w:ascii="Calibri" w:eastAsia="Calibri" w:hAnsi="Calibri" w:cs="Calibri"/>
          <w:b/>
          <w:i/>
          <w:color w:val="632423" w:themeColor="accent2" w:themeShade="80"/>
          <w:sz w:val="22"/>
          <w:szCs w:val="22"/>
        </w:rPr>
        <w:t xml:space="preserve"> area</w:t>
      </w:r>
      <w:r w:rsidR="00410F5D" w:rsidRPr="0028433A">
        <w:rPr>
          <w:rFonts w:ascii="Calibri" w:eastAsia="Calibri" w:hAnsi="Calibri" w:cs="Calibri"/>
          <w:b/>
          <w:i/>
          <w:color w:val="632423" w:themeColor="accent2" w:themeShade="80"/>
          <w:sz w:val="22"/>
          <w:szCs w:val="22"/>
        </w:rPr>
        <w:t xml:space="preserve"> </w:t>
      </w:r>
    </w:p>
    <w:p w:rsidR="00BA5884" w:rsidRPr="0028433A" w:rsidRDefault="0028433A" w:rsidP="0028433A">
      <w:pPr>
        <w:autoSpaceDE w:val="0"/>
        <w:autoSpaceDN w:val="0"/>
        <w:adjustRightInd w:val="0"/>
        <w:jc w:val="both"/>
        <w:rPr>
          <w:rFonts w:ascii="Calibri" w:eastAsia="Calibri" w:hAnsi="Calibri" w:cs="Calibri"/>
          <w:b/>
          <w:color w:val="984806" w:themeColor="accent6" w:themeShade="80"/>
          <w:sz w:val="22"/>
          <w:szCs w:val="22"/>
        </w:rPr>
      </w:pPr>
      <w:r w:rsidRPr="0028433A">
        <w:rPr>
          <w:rFonts w:ascii="Calibri" w:eastAsia="Calibri" w:hAnsi="Calibri" w:cs="Calibri"/>
          <w:color w:val="632423" w:themeColor="accent2" w:themeShade="80"/>
          <w:sz w:val="20"/>
          <w:szCs w:val="22"/>
        </w:rPr>
        <w:t>(Ox</w:t>
      </w:r>
      <w:r w:rsidR="00A234AB">
        <w:rPr>
          <w:rFonts w:ascii="Calibri" w:eastAsia="Calibri" w:hAnsi="Calibri" w:cs="Calibri"/>
          <w:color w:val="632423" w:themeColor="accent2" w:themeShade="80"/>
          <w:sz w:val="20"/>
          <w:szCs w:val="22"/>
        </w:rPr>
        <w:t>ford Core Strategy</w:t>
      </w:r>
      <w:r w:rsidRPr="0028433A">
        <w:rPr>
          <w:rFonts w:ascii="Calibri" w:eastAsia="Calibri" w:hAnsi="Calibri" w:cs="Calibri"/>
          <w:color w:val="632423" w:themeColor="accent2" w:themeShade="80"/>
          <w:sz w:val="20"/>
          <w:szCs w:val="22"/>
        </w:rPr>
        <w:t xml:space="preserve"> Policy CS</w:t>
      </w:r>
      <w:r>
        <w:rPr>
          <w:rFonts w:ascii="Calibri" w:eastAsia="Calibri" w:hAnsi="Calibri" w:cs="Calibri"/>
          <w:color w:val="632423" w:themeColor="accent2" w:themeShade="80"/>
          <w:sz w:val="20"/>
          <w:szCs w:val="22"/>
        </w:rPr>
        <w:t>3</w:t>
      </w:r>
      <w:r w:rsidRPr="0028433A">
        <w:rPr>
          <w:rFonts w:ascii="Calibri" w:eastAsia="Calibri" w:hAnsi="Calibri" w:cs="Calibri"/>
          <w:color w:val="632423" w:themeColor="accent2" w:themeShade="80"/>
          <w:sz w:val="20"/>
          <w:szCs w:val="22"/>
        </w:rPr>
        <w:t>)</w:t>
      </w:r>
    </w:p>
    <w:p w:rsidR="00BA5884" w:rsidRPr="00BA5884" w:rsidRDefault="00BA5884" w:rsidP="00BA5884">
      <w:pPr>
        <w:autoSpaceDE w:val="0"/>
        <w:autoSpaceDN w:val="0"/>
        <w:adjustRightInd w:val="0"/>
        <w:jc w:val="both"/>
        <w:rPr>
          <w:rFonts w:ascii="Calibri" w:eastAsia="Calibri" w:hAnsi="Calibri" w:cs="Calibri"/>
          <w:b/>
          <w:color w:val="632423" w:themeColor="accent2"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BA5884" w:rsidRPr="00BA5884" w:rsidTr="00080674">
        <w:trPr>
          <w:trHeight w:val="218"/>
        </w:trPr>
        <w:tc>
          <w:tcPr>
            <w:tcW w:w="5420" w:type="dxa"/>
          </w:tcPr>
          <w:p w:rsidR="00BA5884" w:rsidRPr="00BA5884" w:rsidRDefault="00BA5884" w:rsidP="00080674">
            <w:pPr>
              <w:autoSpaceDE w:val="0"/>
              <w:autoSpaceDN w:val="0"/>
              <w:adjustRightInd w:val="0"/>
              <w:rPr>
                <w:b/>
                <w:noProof/>
                <w:color w:val="632423" w:themeColor="accent2" w:themeShade="80"/>
                <w:sz w:val="16"/>
                <w:szCs w:val="16"/>
                <w:lang w:eastAsia="en-GB"/>
              </w:rPr>
            </w:pPr>
            <w:r w:rsidRPr="00BA5884">
              <w:rPr>
                <w:rFonts w:ascii="Calibri" w:eastAsia="Calibri" w:hAnsi="Calibri" w:cs="Calibri"/>
                <w:b/>
                <w:color w:val="632423" w:themeColor="accent2" w:themeShade="80"/>
                <w:sz w:val="22"/>
                <w:szCs w:val="22"/>
              </w:rPr>
              <w:t>Performance against target 2013/14:</w:t>
            </w:r>
          </w:p>
        </w:tc>
        <w:tc>
          <w:tcPr>
            <w:tcW w:w="3714" w:type="dxa"/>
            <w:gridSpan w:val="2"/>
          </w:tcPr>
          <w:p w:rsidR="00BA5884" w:rsidRPr="00BA5884" w:rsidRDefault="00BA5884"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Performance in previous two years:</w:t>
            </w:r>
          </w:p>
        </w:tc>
      </w:tr>
      <w:tr w:rsidR="00BA5884" w:rsidRPr="00BA5884" w:rsidTr="00080674">
        <w:tc>
          <w:tcPr>
            <w:tcW w:w="5420" w:type="dxa"/>
            <w:vMerge w:val="restart"/>
          </w:tcPr>
          <w:p w:rsidR="00BA5884" w:rsidRPr="00BA5884" w:rsidRDefault="00BA5884" w:rsidP="00080674">
            <w:pPr>
              <w:autoSpaceDE w:val="0"/>
              <w:autoSpaceDN w:val="0"/>
              <w:adjustRightInd w:val="0"/>
              <w:jc w:val="center"/>
              <w:rPr>
                <w:rFonts w:ascii="Calibri" w:eastAsia="Calibri" w:hAnsi="Calibri" w:cs="Calibri"/>
                <w:b/>
                <w:color w:val="632423" w:themeColor="accent2" w:themeShade="80"/>
                <w:sz w:val="8"/>
                <w:szCs w:val="8"/>
              </w:rPr>
            </w:pPr>
          </w:p>
          <w:p w:rsidR="00BA5884" w:rsidRPr="00BA5884" w:rsidRDefault="003C28AA" w:rsidP="00080674">
            <w:pPr>
              <w:autoSpaceDE w:val="0"/>
              <w:autoSpaceDN w:val="0"/>
              <w:adjustRightInd w:val="0"/>
              <w:jc w:val="center"/>
              <w:rPr>
                <w:rFonts w:ascii="Calibri" w:eastAsia="Calibri" w:hAnsi="Calibri" w:cs="Calibri"/>
                <w:b/>
                <w:color w:val="632423" w:themeColor="accent2" w:themeShade="80"/>
                <w:sz w:val="12"/>
                <w:szCs w:val="12"/>
              </w:rPr>
            </w:pPr>
            <w:r w:rsidRPr="000B530E">
              <w:rPr>
                <w:b/>
                <w:noProof/>
                <w:color w:val="3F4F21"/>
                <w:sz w:val="32"/>
                <w:szCs w:val="32"/>
                <w:lang w:eastAsia="en-GB"/>
              </w:rPr>
              <w:drawing>
                <wp:inline distT="0" distB="0" distL="0" distR="0" wp14:anchorId="4A2F3FAA" wp14:editId="11AA273D">
                  <wp:extent cx="1666875" cy="501917"/>
                  <wp:effectExtent l="0" t="0" r="0" b="0"/>
                  <wp:docPr id="113" name="Picture 11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BA5884" w:rsidRPr="00BA5884" w:rsidRDefault="00BA5884"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2012/13:</w:t>
            </w:r>
          </w:p>
        </w:tc>
        <w:tc>
          <w:tcPr>
            <w:tcW w:w="2613" w:type="dxa"/>
          </w:tcPr>
          <w:p w:rsidR="00BA5884"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6465D">
              <w:rPr>
                <w:b/>
                <w:noProof/>
                <w:color w:val="984806" w:themeColor="accent6" w:themeShade="80"/>
                <w:sz w:val="32"/>
                <w:szCs w:val="32"/>
                <w:lang w:eastAsia="en-GB"/>
              </w:rPr>
              <w:drawing>
                <wp:inline distT="0" distB="0" distL="0" distR="0" wp14:anchorId="47B017C4" wp14:editId="498C946B">
                  <wp:extent cx="1085850" cy="326964"/>
                  <wp:effectExtent l="0" t="0" r="0" b="0"/>
                  <wp:docPr id="98" name="Picture 9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BA5884" w:rsidRPr="00BA5884" w:rsidRDefault="00BA5884" w:rsidP="00080674">
            <w:pPr>
              <w:autoSpaceDE w:val="0"/>
              <w:autoSpaceDN w:val="0"/>
              <w:adjustRightInd w:val="0"/>
              <w:jc w:val="center"/>
              <w:rPr>
                <w:rFonts w:ascii="Calibri" w:eastAsia="Calibri" w:hAnsi="Calibri" w:cs="Calibri"/>
                <w:b/>
                <w:color w:val="632423" w:themeColor="accent2" w:themeShade="80"/>
                <w:sz w:val="8"/>
                <w:szCs w:val="8"/>
              </w:rPr>
            </w:pPr>
          </w:p>
        </w:tc>
      </w:tr>
      <w:tr w:rsidR="00BA5884" w:rsidRPr="00BA5884" w:rsidTr="00080674">
        <w:tc>
          <w:tcPr>
            <w:tcW w:w="5420" w:type="dxa"/>
            <w:vMerge/>
          </w:tcPr>
          <w:p w:rsidR="00BA5884" w:rsidRPr="00BA5884" w:rsidRDefault="00BA5884" w:rsidP="00080674">
            <w:pPr>
              <w:autoSpaceDE w:val="0"/>
              <w:autoSpaceDN w:val="0"/>
              <w:adjustRightInd w:val="0"/>
              <w:jc w:val="center"/>
              <w:rPr>
                <w:rFonts w:ascii="Calibri" w:eastAsia="Calibri" w:hAnsi="Calibri" w:cs="Calibri"/>
                <w:b/>
                <w:color w:val="632423" w:themeColor="accent2" w:themeShade="80"/>
                <w:sz w:val="22"/>
                <w:szCs w:val="22"/>
              </w:rPr>
            </w:pPr>
          </w:p>
        </w:tc>
        <w:tc>
          <w:tcPr>
            <w:tcW w:w="1101" w:type="dxa"/>
          </w:tcPr>
          <w:p w:rsidR="00BA5884" w:rsidRPr="00BA5884" w:rsidRDefault="00BA5884"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2011/12:</w:t>
            </w:r>
          </w:p>
        </w:tc>
        <w:tc>
          <w:tcPr>
            <w:tcW w:w="2613" w:type="dxa"/>
          </w:tcPr>
          <w:p w:rsidR="00BA5884"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6465D">
              <w:rPr>
                <w:b/>
                <w:noProof/>
                <w:color w:val="984806" w:themeColor="accent6" w:themeShade="80"/>
                <w:sz w:val="32"/>
                <w:szCs w:val="32"/>
                <w:lang w:eastAsia="en-GB"/>
              </w:rPr>
              <w:drawing>
                <wp:inline distT="0" distB="0" distL="0" distR="0" wp14:anchorId="31269B06" wp14:editId="3115F9F7">
                  <wp:extent cx="1085850" cy="326964"/>
                  <wp:effectExtent l="0" t="0" r="0" b="0"/>
                  <wp:docPr id="99" name="Picture 9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BA5884" w:rsidRDefault="00BA5884" w:rsidP="00A31762">
      <w:pPr>
        <w:rPr>
          <w:color w:val="632423" w:themeColor="accent2" w:themeShade="80"/>
          <w:sz w:val="22"/>
          <w:szCs w:val="22"/>
        </w:rPr>
      </w:pPr>
    </w:p>
    <w:p w:rsidR="00AC112B" w:rsidRDefault="00AC112B" w:rsidP="00A31762">
      <w:pPr>
        <w:rPr>
          <w:color w:val="632423" w:themeColor="accent2" w:themeShade="80"/>
          <w:sz w:val="22"/>
          <w:szCs w:val="22"/>
        </w:rPr>
      </w:pPr>
    </w:p>
    <w:p w:rsidR="00F13FD9" w:rsidRPr="00AC33B2" w:rsidRDefault="00157192" w:rsidP="004335B5">
      <w:pPr>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The Core Strategy identifies five priority areas for regeneration in Oxford: </w:t>
      </w:r>
      <w:r w:rsidRPr="00F56851">
        <w:rPr>
          <w:rFonts w:ascii="Calibri" w:eastAsia="Calibri" w:hAnsi="Calibri" w:cs="Times New Roman"/>
          <w:sz w:val="22"/>
          <w:szCs w:val="22"/>
        </w:rPr>
        <w:t>Barton, Blackbird Leys, Nor</w:t>
      </w:r>
      <w:r w:rsidR="00410F5D" w:rsidRPr="00F56851">
        <w:rPr>
          <w:rFonts w:ascii="Calibri" w:eastAsia="Calibri" w:hAnsi="Calibri" w:cs="Times New Roman"/>
          <w:sz w:val="22"/>
          <w:szCs w:val="22"/>
        </w:rPr>
        <w:t xml:space="preserve">thway, Rose Hill and Wood </w:t>
      </w:r>
      <w:r w:rsidR="006F2661" w:rsidRPr="00F56851">
        <w:rPr>
          <w:rFonts w:ascii="Calibri" w:eastAsia="Calibri" w:hAnsi="Calibri" w:cs="Times New Roman"/>
          <w:sz w:val="22"/>
          <w:szCs w:val="22"/>
        </w:rPr>
        <w:t>Farm. Physical regeneration is to</w:t>
      </w:r>
      <w:r w:rsidR="00410F5D" w:rsidRPr="00F56851">
        <w:rPr>
          <w:rFonts w:ascii="Calibri" w:eastAsia="Calibri" w:hAnsi="Calibri" w:cs="Times New Roman"/>
          <w:sz w:val="22"/>
          <w:szCs w:val="22"/>
        </w:rPr>
        <w:t xml:space="preserve"> be housing led, with a focus on improving the quality and mix of housing. </w:t>
      </w:r>
      <w:r w:rsidRPr="00F56851">
        <w:rPr>
          <w:rFonts w:ascii="Calibri" w:eastAsia="Calibri" w:hAnsi="Calibri" w:cs="Times New Roman"/>
          <w:sz w:val="22"/>
          <w:szCs w:val="22"/>
        </w:rPr>
        <w:t>Individual targets have bee</w:t>
      </w:r>
      <w:r w:rsidR="00410F5D" w:rsidRPr="00F56851">
        <w:rPr>
          <w:rFonts w:ascii="Calibri" w:eastAsia="Calibri" w:hAnsi="Calibri" w:cs="Times New Roman"/>
          <w:sz w:val="22"/>
          <w:szCs w:val="22"/>
        </w:rPr>
        <w:t>n developed for each of the priority areas</w:t>
      </w:r>
      <w:r w:rsidRPr="00F56851">
        <w:rPr>
          <w:rFonts w:ascii="Calibri" w:eastAsia="Calibri" w:hAnsi="Calibri" w:cs="Times New Roman"/>
          <w:sz w:val="22"/>
          <w:szCs w:val="22"/>
        </w:rPr>
        <w:t xml:space="preserve"> based upon their specific circumstances</w:t>
      </w:r>
      <w:r w:rsidR="00410F5D" w:rsidRPr="00F56851">
        <w:rPr>
          <w:rFonts w:ascii="Calibri" w:eastAsia="Calibri" w:hAnsi="Calibri" w:cs="Times New Roman"/>
          <w:sz w:val="22"/>
          <w:szCs w:val="22"/>
        </w:rPr>
        <w:t>.</w:t>
      </w:r>
      <w:r w:rsidR="00AC33B2">
        <w:rPr>
          <w:rFonts w:ascii="Calibri" w:eastAsia="Calibri" w:hAnsi="Calibri" w:cs="Times New Roman"/>
          <w:sz w:val="22"/>
          <w:szCs w:val="22"/>
        </w:rPr>
        <w:t xml:space="preserve"> </w:t>
      </w:r>
    </w:p>
    <w:p w:rsidR="003C28AA" w:rsidRDefault="003C28AA" w:rsidP="004335B5">
      <w:pPr>
        <w:numPr>
          <w:ilvl w:val="0"/>
          <w:numId w:val="6"/>
        </w:numPr>
        <w:spacing w:line="276" w:lineRule="auto"/>
        <w:ind w:left="499" w:hanging="357"/>
        <w:contextualSpacing/>
        <w:jc w:val="both"/>
        <w:rPr>
          <w:rFonts w:ascii="Calibri" w:eastAsia="Calibri" w:hAnsi="Calibri" w:cs="Times New Roman"/>
          <w:sz w:val="22"/>
          <w:szCs w:val="22"/>
        </w:rPr>
      </w:pPr>
      <w:r>
        <w:rPr>
          <w:rFonts w:ascii="Calibri" w:eastAsia="Calibri" w:hAnsi="Calibri" w:cs="Times New Roman"/>
          <w:sz w:val="22"/>
          <w:szCs w:val="22"/>
        </w:rPr>
        <w:t>K</w:t>
      </w:r>
      <w:r w:rsidR="00F13FD9">
        <w:rPr>
          <w:rFonts w:ascii="Calibri" w:eastAsia="Calibri" w:hAnsi="Calibri" w:cs="Times New Roman"/>
          <w:sz w:val="22"/>
          <w:szCs w:val="22"/>
        </w:rPr>
        <w:t>ey target</w:t>
      </w:r>
      <w:r>
        <w:rPr>
          <w:rFonts w:ascii="Calibri" w:eastAsia="Calibri" w:hAnsi="Calibri" w:cs="Times New Roman"/>
          <w:sz w:val="22"/>
          <w:szCs w:val="22"/>
        </w:rPr>
        <w:t>s</w:t>
      </w:r>
      <w:r w:rsidR="00410F5D">
        <w:rPr>
          <w:rFonts w:ascii="Calibri" w:eastAsia="Calibri" w:hAnsi="Calibri" w:cs="Times New Roman"/>
          <w:sz w:val="22"/>
          <w:szCs w:val="22"/>
        </w:rPr>
        <w:t xml:space="preserve"> for </w:t>
      </w:r>
      <w:r>
        <w:rPr>
          <w:rFonts w:ascii="Calibri" w:eastAsia="Calibri" w:hAnsi="Calibri" w:cs="Times New Roman"/>
          <w:sz w:val="22"/>
          <w:szCs w:val="22"/>
        </w:rPr>
        <w:t xml:space="preserve">Blackbird Leys, Northway and Wood Farm </w:t>
      </w:r>
      <w:r w:rsidR="006F2661">
        <w:rPr>
          <w:rFonts w:ascii="Calibri" w:eastAsia="Calibri" w:hAnsi="Calibri" w:cs="Times New Roman"/>
          <w:sz w:val="22"/>
          <w:szCs w:val="22"/>
        </w:rPr>
        <w:t xml:space="preserve">centred </w:t>
      </w:r>
      <w:proofErr w:type="gramStart"/>
      <w:r w:rsidR="006F2661">
        <w:rPr>
          <w:rFonts w:ascii="Calibri" w:eastAsia="Calibri" w:hAnsi="Calibri" w:cs="Times New Roman"/>
          <w:sz w:val="22"/>
          <w:szCs w:val="22"/>
        </w:rPr>
        <w:t>around</w:t>
      </w:r>
      <w:proofErr w:type="gramEnd"/>
      <w:r w:rsidR="00F13FD9">
        <w:rPr>
          <w:rFonts w:ascii="Calibri" w:eastAsia="Calibri" w:hAnsi="Calibri" w:cs="Times New Roman"/>
          <w:sz w:val="22"/>
          <w:szCs w:val="22"/>
        </w:rPr>
        <w:t xml:space="preserve"> Council owned tower blocks. The Council has now committed to a programme of </w:t>
      </w:r>
      <w:r>
        <w:rPr>
          <w:rFonts w:ascii="Calibri" w:eastAsia="Calibri" w:hAnsi="Calibri" w:cs="Times New Roman"/>
          <w:sz w:val="22"/>
          <w:szCs w:val="22"/>
        </w:rPr>
        <w:t xml:space="preserve">tower block </w:t>
      </w:r>
      <w:r w:rsidR="00F13FD9">
        <w:rPr>
          <w:rFonts w:ascii="Calibri" w:eastAsia="Calibri" w:hAnsi="Calibri" w:cs="Times New Roman"/>
          <w:sz w:val="22"/>
          <w:szCs w:val="22"/>
        </w:rPr>
        <w:t xml:space="preserve">refurbishment </w:t>
      </w:r>
      <w:r>
        <w:rPr>
          <w:rFonts w:ascii="Calibri" w:eastAsia="Calibri" w:hAnsi="Calibri" w:cs="Times New Roman"/>
          <w:sz w:val="22"/>
          <w:szCs w:val="22"/>
        </w:rPr>
        <w:t>which includes</w:t>
      </w:r>
      <w:r w:rsidR="00410F5D">
        <w:rPr>
          <w:rFonts w:ascii="Calibri" w:eastAsia="Calibri" w:hAnsi="Calibri" w:cs="Times New Roman"/>
          <w:sz w:val="22"/>
          <w:szCs w:val="22"/>
        </w:rPr>
        <w:t>:</w:t>
      </w:r>
      <w:r w:rsidR="00F13FD9">
        <w:rPr>
          <w:rFonts w:ascii="Calibri" w:eastAsia="Calibri" w:hAnsi="Calibri" w:cs="Times New Roman"/>
          <w:sz w:val="22"/>
          <w:szCs w:val="22"/>
        </w:rPr>
        <w:t xml:space="preserve"> </w:t>
      </w:r>
      <w:proofErr w:type="spellStart"/>
      <w:r w:rsidR="00F13FD9">
        <w:rPr>
          <w:rFonts w:ascii="Calibri" w:eastAsia="Calibri" w:hAnsi="Calibri" w:cs="Times New Roman"/>
          <w:sz w:val="22"/>
          <w:szCs w:val="22"/>
        </w:rPr>
        <w:t>Evenlode</w:t>
      </w:r>
      <w:proofErr w:type="spellEnd"/>
      <w:r w:rsidR="00F13FD9">
        <w:rPr>
          <w:rFonts w:ascii="Calibri" w:eastAsia="Calibri" w:hAnsi="Calibri" w:cs="Times New Roman"/>
          <w:sz w:val="22"/>
          <w:szCs w:val="22"/>
        </w:rPr>
        <w:t xml:space="preserve"> Tower (Blackbird leys), </w:t>
      </w:r>
      <w:proofErr w:type="spellStart"/>
      <w:r w:rsidR="00410F5D">
        <w:rPr>
          <w:rFonts w:ascii="Calibri" w:eastAsia="Calibri" w:hAnsi="Calibri" w:cs="Times New Roman"/>
          <w:sz w:val="22"/>
          <w:szCs w:val="22"/>
        </w:rPr>
        <w:t>Windrush</w:t>
      </w:r>
      <w:proofErr w:type="spellEnd"/>
      <w:r w:rsidR="00410F5D">
        <w:rPr>
          <w:rFonts w:ascii="Calibri" w:eastAsia="Calibri" w:hAnsi="Calibri" w:cs="Times New Roman"/>
          <w:sz w:val="22"/>
          <w:szCs w:val="22"/>
        </w:rPr>
        <w:t xml:space="preserve"> Tower (Blackbird Leys), </w:t>
      </w:r>
      <w:proofErr w:type="spellStart"/>
      <w:r>
        <w:rPr>
          <w:rFonts w:ascii="Calibri" w:eastAsia="Calibri" w:hAnsi="Calibri" w:cs="Times New Roman"/>
          <w:sz w:val="22"/>
          <w:szCs w:val="22"/>
        </w:rPr>
        <w:t>Plowman</w:t>
      </w:r>
      <w:proofErr w:type="spellEnd"/>
      <w:r>
        <w:rPr>
          <w:rFonts w:ascii="Calibri" w:eastAsia="Calibri" w:hAnsi="Calibri" w:cs="Times New Roman"/>
          <w:sz w:val="22"/>
          <w:szCs w:val="22"/>
        </w:rPr>
        <w:t xml:space="preserve"> Tower (Northway) and</w:t>
      </w:r>
      <w:r w:rsidR="00410F5D">
        <w:rPr>
          <w:rFonts w:ascii="Calibri" w:eastAsia="Calibri" w:hAnsi="Calibri" w:cs="Times New Roman"/>
          <w:sz w:val="22"/>
          <w:szCs w:val="22"/>
        </w:rPr>
        <w:t xml:space="preserve"> Foresters Tower (Wood Farm).</w:t>
      </w:r>
      <w:r>
        <w:rPr>
          <w:rFonts w:ascii="Calibri" w:eastAsia="Calibri" w:hAnsi="Calibri" w:cs="Times New Roman"/>
          <w:sz w:val="22"/>
          <w:szCs w:val="22"/>
        </w:rPr>
        <w:t xml:space="preserve"> The aims of this project are to:</w:t>
      </w:r>
      <w:r>
        <w:rPr>
          <w:rFonts w:ascii="Calibri" w:eastAsia="Calibri" w:hAnsi="Calibri" w:cs="Times New Roman"/>
          <w:sz w:val="22"/>
          <w:szCs w:val="22"/>
        </w:rPr>
        <w:tab/>
      </w:r>
    </w:p>
    <w:p w:rsidR="003C28AA" w:rsidRPr="00F56851" w:rsidRDefault="003C28AA" w:rsidP="004335B5">
      <w:pPr>
        <w:pStyle w:val="ListParagraph"/>
        <w:numPr>
          <w:ilvl w:val="0"/>
          <w:numId w:val="15"/>
        </w:numPr>
        <w:spacing w:after="200" w:line="276" w:lineRule="auto"/>
        <w:jc w:val="both"/>
        <w:rPr>
          <w:rFonts w:asciiTheme="minorHAnsi" w:eastAsia="Calibri" w:hAnsiTheme="minorHAnsi" w:cstheme="minorHAnsi"/>
          <w:sz w:val="22"/>
          <w:szCs w:val="22"/>
        </w:rPr>
      </w:pPr>
      <w:r w:rsidRPr="00F56851">
        <w:rPr>
          <w:rFonts w:asciiTheme="minorHAnsi" w:eastAsia="Times New Roman" w:hAnsiTheme="minorHAnsi" w:cstheme="minorHAnsi"/>
          <w:sz w:val="22"/>
          <w:szCs w:val="22"/>
          <w:lang w:eastAsia="en-GB"/>
        </w:rPr>
        <w:t>Successfully deliver works to the communal structure of the tower blocks, together with additional insulation, replacement of windows, replacement heating, communal e</w:t>
      </w:r>
      <w:r w:rsidR="00F56851">
        <w:rPr>
          <w:rFonts w:asciiTheme="minorHAnsi" w:eastAsia="Times New Roman" w:hAnsiTheme="minorHAnsi" w:cstheme="minorHAnsi"/>
          <w:sz w:val="22"/>
          <w:szCs w:val="22"/>
          <w:lang w:eastAsia="en-GB"/>
        </w:rPr>
        <w:t>lectrics and lift refurbishment;</w:t>
      </w:r>
    </w:p>
    <w:p w:rsidR="003C28AA" w:rsidRPr="00F56851" w:rsidRDefault="003C28AA" w:rsidP="004335B5">
      <w:pPr>
        <w:pStyle w:val="ListParagraph"/>
        <w:numPr>
          <w:ilvl w:val="0"/>
          <w:numId w:val="15"/>
        </w:numPr>
        <w:spacing w:after="200" w:line="276" w:lineRule="auto"/>
        <w:jc w:val="both"/>
        <w:rPr>
          <w:rFonts w:asciiTheme="minorHAnsi" w:eastAsia="Calibri" w:hAnsiTheme="minorHAnsi" w:cstheme="minorHAnsi"/>
          <w:sz w:val="22"/>
          <w:szCs w:val="22"/>
        </w:rPr>
      </w:pPr>
      <w:r w:rsidRPr="00F56851">
        <w:rPr>
          <w:rFonts w:asciiTheme="minorHAnsi" w:eastAsia="Times New Roman" w:hAnsiTheme="minorHAnsi" w:cstheme="minorHAnsi"/>
          <w:sz w:val="22"/>
          <w:szCs w:val="22"/>
          <w:lang w:eastAsia="en-GB"/>
        </w:rPr>
        <w:t>Reduce heat loss and provide more improvements to achieve en</w:t>
      </w:r>
      <w:r w:rsidR="00F56851">
        <w:rPr>
          <w:rFonts w:asciiTheme="minorHAnsi" w:eastAsia="Times New Roman" w:hAnsiTheme="minorHAnsi" w:cstheme="minorHAnsi"/>
          <w:sz w:val="22"/>
          <w:szCs w:val="22"/>
          <w:lang w:eastAsia="en-GB"/>
        </w:rPr>
        <w:t>ergy savings;</w:t>
      </w:r>
    </w:p>
    <w:p w:rsidR="003C28AA" w:rsidRPr="00F56851" w:rsidRDefault="003C28AA" w:rsidP="004335B5">
      <w:pPr>
        <w:pStyle w:val="ListParagraph"/>
        <w:numPr>
          <w:ilvl w:val="0"/>
          <w:numId w:val="15"/>
        </w:numPr>
        <w:spacing w:after="200" w:line="276" w:lineRule="auto"/>
        <w:jc w:val="both"/>
        <w:rPr>
          <w:rFonts w:asciiTheme="minorHAnsi" w:eastAsia="Calibri" w:hAnsiTheme="minorHAnsi" w:cstheme="minorHAnsi"/>
          <w:sz w:val="22"/>
          <w:szCs w:val="22"/>
        </w:rPr>
      </w:pPr>
      <w:r w:rsidRPr="00F56851">
        <w:rPr>
          <w:rFonts w:asciiTheme="minorHAnsi" w:eastAsia="Times New Roman" w:hAnsiTheme="minorHAnsi" w:cstheme="minorHAnsi"/>
          <w:sz w:val="22"/>
          <w:szCs w:val="22"/>
          <w:lang w:eastAsia="en-GB"/>
        </w:rPr>
        <w:t>Make enhancements to the ph</w:t>
      </w:r>
      <w:r w:rsidR="00F56851">
        <w:rPr>
          <w:rFonts w:asciiTheme="minorHAnsi" w:eastAsia="Times New Roman" w:hAnsiTheme="minorHAnsi" w:cstheme="minorHAnsi"/>
          <w:sz w:val="22"/>
          <w:szCs w:val="22"/>
          <w:lang w:eastAsia="en-GB"/>
        </w:rPr>
        <w:t>ysical appearance of the blocks;</w:t>
      </w:r>
    </w:p>
    <w:p w:rsidR="003C28AA" w:rsidRPr="00F56851" w:rsidRDefault="00F56851" w:rsidP="004335B5">
      <w:pPr>
        <w:pStyle w:val="ListParagraph"/>
        <w:numPr>
          <w:ilvl w:val="0"/>
          <w:numId w:val="15"/>
        </w:numPr>
        <w:spacing w:after="200" w:line="276" w:lineRule="auto"/>
        <w:jc w:val="both"/>
        <w:rPr>
          <w:rFonts w:asciiTheme="minorHAnsi" w:eastAsia="Calibri" w:hAnsiTheme="minorHAnsi" w:cstheme="minorHAnsi"/>
          <w:sz w:val="22"/>
          <w:szCs w:val="22"/>
        </w:rPr>
      </w:pPr>
      <w:r>
        <w:rPr>
          <w:rFonts w:asciiTheme="minorHAnsi" w:eastAsia="Times New Roman" w:hAnsiTheme="minorHAnsi" w:cstheme="minorHAnsi"/>
          <w:sz w:val="22"/>
          <w:szCs w:val="22"/>
          <w:lang w:eastAsia="en-GB"/>
        </w:rPr>
        <w:t>Reduce fire risk; and</w:t>
      </w:r>
    </w:p>
    <w:p w:rsidR="003C28AA" w:rsidRPr="00F56851" w:rsidRDefault="003C28AA" w:rsidP="004335B5">
      <w:pPr>
        <w:pStyle w:val="ListParagraph"/>
        <w:numPr>
          <w:ilvl w:val="0"/>
          <w:numId w:val="15"/>
        </w:numPr>
        <w:spacing w:after="200" w:line="276" w:lineRule="auto"/>
        <w:jc w:val="both"/>
        <w:rPr>
          <w:rFonts w:asciiTheme="minorHAnsi" w:eastAsia="Calibri" w:hAnsiTheme="minorHAnsi" w:cstheme="minorHAnsi"/>
          <w:sz w:val="22"/>
          <w:szCs w:val="22"/>
        </w:rPr>
      </w:pPr>
      <w:r w:rsidRPr="00F56851">
        <w:rPr>
          <w:rFonts w:asciiTheme="minorHAnsi" w:eastAsia="Times New Roman" w:hAnsiTheme="minorHAnsi" w:cstheme="minorHAnsi"/>
          <w:sz w:val="22"/>
          <w:szCs w:val="22"/>
          <w:lang w:eastAsia="en-GB"/>
        </w:rPr>
        <w:t>Increase quality of life for residents.</w:t>
      </w:r>
    </w:p>
    <w:p w:rsidR="00F13FD9" w:rsidRDefault="003C28AA" w:rsidP="004335B5">
      <w:pPr>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A significant amount of work has been undertaken during the monitoring period towards delivering th</w:t>
      </w:r>
      <w:r w:rsidR="008F48F6">
        <w:rPr>
          <w:rFonts w:ascii="Calibri" w:eastAsia="Calibri" w:hAnsi="Calibri" w:cs="Times New Roman"/>
          <w:sz w:val="22"/>
          <w:szCs w:val="22"/>
        </w:rPr>
        <w:t>is project</w:t>
      </w:r>
      <w:r>
        <w:rPr>
          <w:rFonts w:ascii="Calibri" w:eastAsia="Calibri" w:hAnsi="Calibri" w:cs="Times New Roman"/>
          <w:sz w:val="22"/>
          <w:szCs w:val="22"/>
        </w:rPr>
        <w:t>, with detailed schemes under</w:t>
      </w:r>
      <w:r w:rsidR="009D1FA6">
        <w:rPr>
          <w:rFonts w:ascii="Calibri" w:eastAsia="Calibri" w:hAnsi="Calibri" w:cs="Times New Roman"/>
          <w:sz w:val="22"/>
          <w:szCs w:val="22"/>
        </w:rPr>
        <w:t xml:space="preserve"> </w:t>
      </w:r>
      <w:r>
        <w:rPr>
          <w:rFonts w:ascii="Calibri" w:eastAsia="Calibri" w:hAnsi="Calibri" w:cs="Times New Roman"/>
          <w:sz w:val="22"/>
          <w:szCs w:val="22"/>
        </w:rPr>
        <w:t>development. This has included a large amount of consultation with tower block residents and discussions with the Oxford Design Review Panel.  The physical refurbishment is due to start in 2015.</w:t>
      </w:r>
    </w:p>
    <w:p w:rsidR="00707705" w:rsidRDefault="00CA4B66" w:rsidP="004335B5">
      <w:pPr>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Another key target identified in the Core Strategy is to provide a new swimming pool in Blackbird Leys. </w:t>
      </w:r>
      <w:r w:rsidR="009D1FA6">
        <w:rPr>
          <w:rFonts w:ascii="Calibri" w:eastAsia="Calibri" w:hAnsi="Calibri" w:cs="Times New Roman"/>
          <w:sz w:val="22"/>
          <w:szCs w:val="22"/>
        </w:rPr>
        <w:t>W</w:t>
      </w:r>
      <w:r>
        <w:rPr>
          <w:rFonts w:ascii="Calibri" w:eastAsia="Calibri" w:hAnsi="Calibri" w:cs="Times New Roman"/>
          <w:sz w:val="22"/>
          <w:szCs w:val="22"/>
        </w:rPr>
        <w:t>ork</w:t>
      </w:r>
      <w:r w:rsidR="00C81C3E">
        <w:rPr>
          <w:rFonts w:ascii="Calibri" w:eastAsia="Calibri" w:hAnsi="Calibri" w:cs="Times New Roman"/>
          <w:sz w:val="22"/>
          <w:szCs w:val="22"/>
        </w:rPr>
        <w:t xml:space="preserve"> </w:t>
      </w:r>
      <w:r w:rsidR="008610C6">
        <w:rPr>
          <w:rFonts w:ascii="Calibri" w:eastAsia="Calibri" w:hAnsi="Calibri" w:cs="Times New Roman"/>
          <w:sz w:val="22"/>
          <w:szCs w:val="22"/>
        </w:rPr>
        <w:t xml:space="preserve">on the new swimming </w:t>
      </w:r>
      <w:r w:rsidR="009D1FA6">
        <w:rPr>
          <w:rFonts w:ascii="Calibri" w:eastAsia="Calibri" w:hAnsi="Calibri" w:cs="Times New Roman"/>
          <w:sz w:val="22"/>
          <w:szCs w:val="22"/>
        </w:rPr>
        <w:t xml:space="preserve">pool </w:t>
      </w:r>
      <w:r w:rsidR="008610C6">
        <w:rPr>
          <w:rFonts w:ascii="Calibri" w:eastAsia="Calibri" w:hAnsi="Calibri" w:cs="Times New Roman"/>
          <w:sz w:val="22"/>
          <w:szCs w:val="22"/>
        </w:rPr>
        <w:t>complex at Blackbird Leys Leisure Centre</w:t>
      </w:r>
      <w:r>
        <w:rPr>
          <w:rFonts w:ascii="Calibri" w:eastAsia="Calibri" w:hAnsi="Calibri" w:cs="Times New Roman"/>
          <w:sz w:val="22"/>
          <w:szCs w:val="22"/>
        </w:rPr>
        <w:t xml:space="preserve"> is</w:t>
      </w:r>
      <w:r w:rsidR="006C4C51">
        <w:rPr>
          <w:rFonts w:ascii="Calibri" w:eastAsia="Calibri" w:hAnsi="Calibri" w:cs="Times New Roman"/>
          <w:sz w:val="22"/>
          <w:szCs w:val="22"/>
        </w:rPr>
        <w:t xml:space="preserve"> currently</w:t>
      </w:r>
      <w:r>
        <w:rPr>
          <w:rFonts w:ascii="Calibri" w:eastAsia="Calibri" w:hAnsi="Calibri" w:cs="Times New Roman"/>
          <w:sz w:val="22"/>
          <w:szCs w:val="22"/>
        </w:rPr>
        <w:t xml:space="preserve"> in progress and </w:t>
      </w:r>
      <w:r w:rsidR="008610C6">
        <w:rPr>
          <w:rFonts w:ascii="Calibri" w:eastAsia="Calibri" w:hAnsi="Calibri" w:cs="Times New Roman"/>
          <w:sz w:val="22"/>
          <w:szCs w:val="22"/>
        </w:rPr>
        <w:t>is due to be completed by the end of 2014.</w:t>
      </w:r>
    </w:p>
    <w:p w:rsidR="00933BC2" w:rsidRPr="009D1FA6" w:rsidRDefault="000E5B69" w:rsidP="004335B5">
      <w:pPr>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The redevelopment of Wood Farm Primary School/Slade Nursery S</w:t>
      </w:r>
      <w:r w:rsidR="00933BC2">
        <w:rPr>
          <w:rFonts w:ascii="Calibri" w:eastAsia="Calibri" w:hAnsi="Calibri" w:cs="Times New Roman"/>
          <w:sz w:val="22"/>
          <w:szCs w:val="22"/>
        </w:rPr>
        <w:t xml:space="preserve">chool to include enhanced facilities for the wider community is also a Core Strategy target. Work was completed in October </w:t>
      </w:r>
      <w:r w:rsidR="00933BC2" w:rsidRPr="009D1FA6">
        <w:rPr>
          <w:rFonts w:ascii="Calibri" w:eastAsia="Calibri" w:hAnsi="Calibri" w:cs="Times New Roman"/>
          <w:sz w:val="22"/>
          <w:szCs w:val="22"/>
        </w:rPr>
        <w:t>2013.</w:t>
      </w:r>
    </w:p>
    <w:p w:rsidR="00707705" w:rsidRDefault="00707705" w:rsidP="00A31762">
      <w:pPr>
        <w:rPr>
          <w:color w:val="632423" w:themeColor="accent2" w:themeShade="80"/>
          <w:sz w:val="22"/>
          <w:szCs w:val="22"/>
        </w:rPr>
      </w:pPr>
    </w:p>
    <w:p w:rsidR="009D1FA6" w:rsidRDefault="009D1FA6" w:rsidP="00A31762">
      <w:pPr>
        <w:rPr>
          <w:color w:val="632423" w:themeColor="accent2" w:themeShade="80"/>
          <w:sz w:val="22"/>
          <w:szCs w:val="22"/>
        </w:rPr>
      </w:pPr>
    </w:p>
    <w:p w:rsidR="004D1C02" w:rsidRDefault="004D1C02" w:rsidP="00A31762">
      <w:pPr>
        <w:rPr>
          <w:color w:val="632423" w:themeColor="accent2" w:themeShade="80"/>
          <w:sz w:val="22"/>
          <w:szCs w:val="22"/>
        </w:rPr>
      </w:pPr>
    </w:p>
    <w:p w:rsidR="007D5EE3" w:rsidRDefault="007D5EE3" w:rsidP="00A31762">
      <w:pPr>
        <w:rPr>
          <w:color w:val="632423" w:themeColor="accent2" w:themeShade="80"/>
          <w:sz w:val="22"/>
          <w:szCs w:val="22"/>
        </w:rPr>
      </w:pPr>
    </w:p>
    <w:p w:rsidR="00933BC2" w:rsidRDefault="00933BC2" w:rsidP="00A31762">
      <w:pPr>
        <w:rPr>
          <w:color w:val="632423" w:themeColor="accent2" w:themeShade="80"/>
          <w:sz w:val="22"/>
          <w:szCs w:val="22"/>
        </w:rPr>
      </w:pPr>
    </w:p>
    <w:p w:rsidR="007D5EE3" w:rsidRPr="00BA5884" w:rsidRDefault="00CA4B66" w:rsidP="007D5EE3">
      <w:pPr>
        <w:autoSpaceDE w:val="0"/>
        <w:autoSpaceDN w:val="0"/>
        <w:adjustRightInd w:val="0"/>
        <w:jc w:val="both"/>
        <w:rPr>
          <w:rFonts w:ascii="Calibri" w:eastAsia="Calibri" w:hAnsi="Calibri" w:cs="Calibri"/>
          <w:color w:val="632423" w:themeColor="accent2" w:themeShade="80"/>
        </w:rPr>
      </w:pPr>
      <w:r>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56544" behindDoc="0" locked="0" layoutInCell="1" allowOverlap="1" wp14:anchorId="332348D4" wp14:editId="6BADCD85">
                <wp:simplePos x="0" y="0"/>
                <wp:positionH relativeFrom="column">
                  <wp:posOffset>3400425</wp:posOffset>
                </wp:positionH>
                <wp:positionV relativeFrom="paragraph">
                  <wp:posOffset>-517525</wp:posOffset>
                </wp:positionV>
                <wp:extent cx="2427605" cy="3524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280EB5">
                            <w:pPr>
                              <w:jc w:val="right"/>
                              <w:rPr>
                                <w:b/>
                                <w:color w:val="632423" w:themeColor="accent2" w:themeShade="80"/>
                              </w:rPr>
                            </w:pPr>
                            <w:r w:rsidRPr="00280EB5">
                              <w:rPr>
                                <w:b/>
                                <w:color w:val="632423" w:themeColor="accent2" w:themeShade="80"/>
                              </w:rPr>
                              <w:t>Strong, Active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65" type="#_x0000_t202" style="position:absolute;left:0;text-align:left;margin-left:267.75pt;margin-top:-40.75pt;width:191.15pt;height:27.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" fillcolor="window" stroked="f" strokeweight=".5pt">
                <v:textbox>
                  <w:txbxContent>
                    <w:p w:rsidR="000D3CFF" w:rsidRPr="00280EB5" w:rsidRDefault="000D3CFF" w:rsidP="00280EB5">
                      <w:pPr>
                        <w:jc w:val="right"/>
                        <w:rPr>
                          <w:b/>
                          <w:color w:val="632423" w:themeColor="accent2" w:themeShade="80"/>
                        </w:rPr>
                      </w:pPr>
                      <w:r w:rsidRPr="00280EB5">
                        <w:rPr>
                          <w:b/>
                          <w:color w:val="632423" w:themeColor="accent2" w:themeShade="80"/>
                        </w:rPr>
                        <w:t>Strong, Active Communities</w:t>
                      </w:r>
                    </w:p>
                  </w:txbxContent>
                </v:textbox>
              </v:shape>
            </w:pict>
          </mc:Fallback>
        </mc:AlternateContent>
      </w:r>
      <w:r w:rsidR="0028433A">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94080" behindDoc="1" locked="0" layoutInCell="1" allowOverlap="1" wp14:anchorId="05B265B9" wp14:editId="27F52E2B">
                <wp:simplePos x="0" y="0"/>
                <wp:positionH relativeFrom="column">
                  <wp:posOffset>-95250</wp:posOffset>
                </wp:positionH>
                <wp:positionV relativeFrom="paragraph">
                  <wp:posOffset>-28575</wp:posOffset>
                </wp:positionV>
                <wp:extent cx="5875655" cy="1724025"/>
                <wp:effectExtent l="0" t="0" r="0" b="9525"/>
                <wp:wrapNone/>
                <wp:docPr id="102" name="Rectangle 102"/>
                <wp:cNvGraphicFramePr/>
                <a:graphic xmlns:a="http://schemas.openxmlformats.org/drawingml/2006/main">
                  <a:graphicData uri="http://schemas.microsoft.com/office/word/2010/wordprocessingShape">
                    <wps:wsp>
                      <wps:cNvSpPr/>
                      <wps:spPr>
                        <a:xfrm>
                          <a:off x="0" y="0"/>
                          <a:ext cx="5875655" cy="1724025"/>
                        </a:xfrm>
                        <a:prstGeom prst="rect">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7.5pt;margin-top:-2.25pt;width:462.65pt;height:13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" fillcolor="#f2dcdb" stroked="f" strokeweight="2pt"/>
            </w:pict>
          </mc:Fallback>
        </mc:AlternateContent>
      </w:r>
      <w:r w:rsidR="007D5EE3" w:rsidRPr="00BA5884">
        <w:rPr>
          <w:rFonts w:ascii="Calibri" w:eastAsia="Calibri" w:hAnsi="Calibri" w:cs="Calibri"/>
          <w:b/>
          <w:color w:val="632423" w:themeColor="accent2" w:themeShade="80"/>
        </w:rPr>
        <w:t>Indicator 1</w:t>
      </w:r>
      <w:r w:rsidR="00AF5F8C">
        <w:rPr>
          <w:rFonts w:ascii="Calibri" w:eastAsia="Calibri" w:hAnsi="Calibri" w:cs="Calibri"/>
          <w:b/>
          <w:color w:val="632423" w:themeColor="accent2" w:themeShade="80"/>
        </w:rPr>
        <w:t>8</w:t>
      </w:r>
      <w:r w:rsidR="007D5EE3">
        <w:rPr>
          <w:rFonts w:ascii="Calibri" w:eastAsia="Calibri" w:hAnsi="Calibri" w:cs="Calibri"/>
          <w:b/>
          <w:color w:val="632423" w:themeColor="accent2" w:themeShade="80"/>
        </w:rPr>
        <w:t>:</w:t>
      </w:r>
      <w:r w:rsidR="007D5EE3" w:rsidRPr="00BA5884">
        <w:rPr>
          <w:rFonts w:ascii="Calibri" w:eastAsia="Calibri" w:hAnsi="Calibri" w:cs="Calibri"/>
          <w:b/>
          <w:color w:val="632423" w:themeColor="accent2" w:themeShade="80"/>
        </w:rPr>
        <w:t xml:space="preserve"> </w:t>
      </w:r>
      <w:r w:rsidR="007D5EE3">
        <w:rPr>
          <w:rFonts w:ascii="Calibri" w:eastAsia="Calibri" w:hAnsi="Calibri" w:cs="Calibri"/>
          <w:b/>
          <w:color w:val="632423" w:themeColor="accent2" w:themeShade="80"/>
        </w:rPr>
        <w:t>PERMISSIONS CONTRARY TO THAMES VALLEY POLICE ADVICE</w:t>
      </w:r>
    </w:p>
    <w:p w:rsidR="007D5EE3" w:rsidRPr="00BA5884" w:rsidRDefault="007D5EE3" w:rsidP="007D5EE3">
      <w:pPr>
        <w:autoSpaceDE w:val="0"/>
        <w:autoSpaceDN w:val="0"/>
        <w:adjustRightInd w:val="0"/>
        <w:jc w:val="both"/>
        <w:rPr>
          <w:rFonts w:ascii="Calibri" w:eastAsia="Calibri" w:hAnsi="Calibri" w:cs="Calibri"/>
          <w:b/>
          <w:color w:val="632423" w:themeColor="accent2" w:themeShade="80"/>
          <w:sz w:val="10"/>
          <w:szCs w:val="22"/>
        </w:rPr>
      </w:pPr>
    </w:p>
    <w:p w:rsidR="0028433A" w:rsidRDefault="007D5EE3" w:rsidP="007D5EE3">
      <w:pPr>
        <w:autoSpaceDE w:val="0"/>
        <w:autoSpaceDN w:val="0"/>
        <w:adjustRightInd w:val="0"/>
        <w:jc w:val="both"/>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 xml:space="preserve">Target: </w:t>
      </w:r>
      <w:r>
        <w:rPr>
          <w:rFonts w:ascii="Calibri" w:eastAsia="Calibri" w:hAnsi="Calibri" w:cs="Calibri"/>
          <w:b/>
          <w:color w:val="632423" w:themeColor="accent2" w:themeShade="80"/>
          <w:sz w:val="22"/>
          <w:szCs w:val="22"/>
        </w:rPr>
        <w:t>0% of planning permission</w:t>
      </w:r>
      <w:r w:rsidR="0028433A">
        <w:rPr>
          <w:rFonts w:ascii="Calibri" w:eastAsia="Calibri" w:hAnsi="Calibri" w:cs="Calibri"/>
          <w:b/>
          <w:color w:val="632423" w:themeColor="accent2" w:themeShade="80"/>
          <w:sz w:val="22"/>
          <w:szCs w:val="22"/>
        </w:rPr>
        <w:t>s</w:t>
      </w:r>
      <w:r>
        <w:rPr>
          <w:rFonts w:ascii="Calibri" w:eastAsia="Calibri" w:hAnsi="Calibri" w:cs="Calibri"/>
          <w:b/>
          <w:color w:val="632423" w:themeColor="accent2" w:themeShade="80"/>
          <w:sz w:val="22"/>
          <w:szCs w:val="22"/>
        </w:rPr>
        <w:t xml:space="preserve"> </w:t>
      </w:r>
      <w:r w:rsidR="0028433A">
        <w:rPr>
          <w:rFonts w:ascii="Calibri" w:eastAsia="Calibri" w:hAnsi="Calibri" w:cs="Calibri"/>
          <w:b/>
          <w:color w:val="632423" w:themeColor="accent2" w:themeShade="80"/>
          <w:sz w:val="22"/>
          <w:szCs w:val="22"/>
        </w:rPr>
        <w:t>granted</w:t>
      </w:r>
      <w:r>
        <w:rPr>
          <w:rFonts w:ascii="Calibri" w:eastAsia="Calibri" w:hAnsi="Calibri" w:cs="Calibri"/>
          <w:b/>
          <w:color w:val="632423" w:themeColor="accent2" w:themeShade="80"/>
          <w:sz w:val="22"/>
          <w:szCs w:val="22"/>
        </w:rPr>
        <w:t xml:space="preserve"> contrary to Thames Valley Police objection </w:t>
      </w:r>
    </w:p>
    <w:p w:rsidR="0028433A" w:rsidRPr="0028433A" w:rsidRDefault="00A234AB" w:rsidP="0028433A">
      <w:pPr>
        <w:autoSpaceDE w:val="0"/>
        <w:autoSpaceDN w:val="0"/>
        <w:adjustRightInd w:val="0"/>
        <w:jc w:val="both"/>
        <w:rPr>
          <w:rFonts w:ascii="Calibri" w:eastAsia="Calibri" w:hAnsi="Calibri" w:cs="Calibri"/>
          <w:b/>
          <w:color w:val="984806" w:themeColor="accent6" w:themeShade="80"/>
          <w:sz w:val="22"/>
          <w:szCs w:val="22"/>
        </w:rPr>
      </w:pPr>
      <w:r>
        <w:rPr>
          <w:rFonts w:ascii="Calibri" w:eastAsia="Calibri" w:hAnsi="Calibri" w:cs="Calibri"/>
          <w:color w:val="632423" w:themeColor="accent2" w:themeShade="80"/>
          <w:sz w:val="20"/>
          <w:szCs w:val="22"/>
        </w:rPr>
        <w:t>(Oxford Core Strategy</w:t>
      </w:r>
      <w:r w:rsidR="0028433A" w:rsidRPr="0028433A">
        <w:rPr>
          <w:rFonts w:ascii="Calibri" w:eastAsia="Calibri" w:hAnsi="Calibri" w:cs="Calibri"/>
          <w:color w:val="632423" w:themeColor="accent2" w:themeShade="80"/>
          <w:sz w:val="20"/>
          <w:szCs w:val="22"/>
        </w:rPr>
        <w:t xml:space="preserve"> Policy CS</w:t>
      </w:r>
      <w:r w:rsidR="0028433A">
        <w:rPr>
          <w:rFonts w:ascii="Calibri" w:eastAsia="Calibri" w:hAnsi="Calibri" w:cs="Calibri"/>
          <w:color w:val="632423" w:themeColor="accent2" w:themeShade="80"/>
          <w:sz w:val="20"/>
          <w:szCs w:val="22"/>
        </w:rPr>
        <w:t>19</w:t>
      </w:r>
      <w:r w:rsidR="0028433A" w:rsidRPr="0028433A">
        <w:rPr>
          <w:rFonts w:ascii="Calibri" w:eastAsia="Calibri" w:hAnsi="Calibri" w:cs="Calibri"/>
          <w:color w:val="632423" w:themeColor="accent2" w:themeShade="80"/>
          <w:sz w:val="20"/>
          <w:szCs w:val="22"/>
        </w:rPr>
        <w:t>)</w:t>
      </w:r>
    </w:p>
    <w:p w:rsidR="007D5EE3" w:rsidRPr="00BA5884" w:rsidRDefault="007D5EE3" w:rsidP="007D5EE3">
      <w:pPr>
        <w:autoSpaceDE w:val="0"/>
        <w:autoSpaceDN w:val="0"/>
        <w:adjustRightInd w:val="0"/>
        <w:jc w:val="both"/>
        <w:rPr>
          <w:rFonts w:ascii="Calibri" w:eastAsia="Calibri" w:hAnsi="Calibri" w:cs="Calibri"/>
          <w:b/>
          <w:color w:val="632423" w:themeColor="accent2"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7D5EE3" w:rsidRPr="00BA5884" w:rsidTr="00080674">
        <w:trPr>
          <w:trHeight w:val="218"/>
        </w:trPr>
        <w:tc>
          <w:tcPr>
            <w:tcW w:w="5420" w:type="dxa"/>
          </w:tcPr>
          <w:p w:rsidR="007D5EE3" w:rsidRPr="00BA5884" w:rsidRDefault="007D5EE3" w:rsidP="00080674">
            <w:pPr>
              <w:autoSpaceDE w:val="0"/>
              <w:autoSpaceDN w:val="0"/>
              <w:adjustRightInd w:val="0"/>
              <w:rPr>
                <w:b/>
                <w:noProof/>
                <w:color w:val="632423" w:themeColor="accent2" w:themeShade="80"/>
                <w:sz w:val="16"/>
                <w:szCs w:val="16"/>
                <w:lang w:eastAsia="en-GB"/>
              </w:rPr>
            </w:pPr>
            <w:r w:rsidRPr="00BA5884">
              <w:rPr>
                <w:rFonts w:ascii="Calibri" w:eastAsia="Calibri" w:hAnsi="Calibri" w:cs="Calibri"/>
                <w:b/>
                <w:color w:val="632423" w:themeColor="accent2" w:themeShade="80"/>
                <w:sz w:val="22"/>
                <w:szCs w:val="22"/>
              </w:rPr>
              <w:t>Performance against target 2013/14:</w:t>
            </w:r>
          </w:p>
        </w:tc>
        <w:tc>
          <w:tcPr>
            <w:tcW w:w="3714" w:type="dxa"/>
            <w:gridSpan w:val="2"/>
          </w:tcPr>
          <w:p w:rsidR="007D5EE3"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Performance in previous two years:</w:t>
            </w:r>
          </w:p>
        </w:tc>
      </w:tr>
      <w:tr w:rsidR="007D5EE3" w:rsidRPr="00BA5884" w:rsidTr="00080674">
        <w:tc>
          <w:tcPr>
            <w:tcW w:w="5420" w:type="dxa"/>
            <w:vMerge w:val="restart"/>
          </w:tcPr>
          <w:p w:rsidR="007D5EE3" w:rsidRPr="00BA5884" w:rsidRDefault="007D5EE3" w:rsidP="00080674">
            <w:pPr>
              <w:autoSpaceDE w:val="0"/>
              <w:autoSpaceDN w:val="0"/>
              <w:adjustRightInd w:val="0"/>
              <w:jc w:val="center"/>
              <w:rPr>
                <w:rFonts w:ascii="Calibri" w:eastAsia="Calibri" w:hAnsi="Calibri" w:cs="Calibri"/>
                <w:b/>
                <w:color w:val="632423" w:themeColor="accent2" w:themeShade="80"/>
                <w:sz w:val="8"/>
                <w:szCs w:val="8"/>
              </w:rPr>
            </w:pPr>
          </w:p>
          <w:p w:rsidR="007D5EE3" w:rsidRDefault="007D5EE3" w:rsidP="00080674">
            <w:pPr>
              <w:autoSpaceDE w:val="0"/>
              <w:autoSpaceDN w:val="0"/>
              <w:adjustRightInd w:val="0"/>
              <w:jc w:val="center"/>
              <w:rPr>
                <w:rFonts w:ascii="Calibri" w:eastAsia="Calibri" w:hAnsi="Calibri" w:cs="Calibri"/>
                <w:b/>
                <w:color w:val="632423" w:themeColor="accent2" w:themeShade="80"/>
                <w:sz w:val="12"/>
                <w:szCs w:val="12"/>
              </w:rPr>
            </w:pPr>
          </w:p>
          <w:p w:rsidR="001A036B" w:rsidRPr="00BA5884" w:rsidRDefault="00B47B04" w:rsidP="00080674">
            <w:pPr>
              <w:autoSpaceDE w:val="0"/>
              <w:autoSpaceDN w:val="0"/>
              <w:adjustRightInd w:val="0"/>
              <w:jc w:val="center"/>
              <w:rPr>
                <w:rFonts w:ascii="Calibri" w:eastAsia="Calibri" w:hAnsi="Calibri" w:cs="Calibri"/>
                <w:b/>
                <w:color w:val="632423" w:themeColor="accent2" w:themeShade="80"/>
                <w:sz w:val="12"/>
                <w:szCs w:val="12"/>
              </w:rPr>
            </w:pPr>
            <w:r w:rsidRPr="000B530E">
              <w:rPr>
                <w:b/>
                <w:noProof/>
                <w:color w:val="3F4F21"/>
                <w:sz w:val="32"/>
                <w:szCs w:val="32"/>
                <w:lang w:eastAsia="en-GB"/>
              </w:rPr>
              <w:drawing>
                <wp:inline distT="0" distB="0" distL="0" distR="0" wp14:anchorId="03F8F7CC" wp14:editId="01470E3A">
                  <wp:extent cx="1666875" cy="501917"/>
                  <wp:effectExtent l="0" t="0" r="0" b="0"/>
                  <wp:docPr id="227" name="Picture 227"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7D5EE3"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2012/13:</w:t>
            </w:r>
          </w:p>
        </w:tc>
        <w:tc>
          <w:tcPr>
            <w:tcW w:w="2613" w:type="dxa"/>
          </w:tcPr>
          <w:p w:rsidR="007D5EE3"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6465D">
              <w:rPr>
                <w:b/>
                <w:noProof/>
                <w:color w:val="984806" w:themeColor="accent6" w:themeShade="80"/>
                <w:sz w:val="32"/>
                <w:szCs w:val="32"/>
                <w:lang w:eastAsia="en-GB"/>
              </w:rPr>
              <w:drawing>
                <wp:inline distT="0" distB="0" distL="0" distR="0" wp14:anchorId="1DF974A1" wp14:editId="05FC08C1">
                  <wp:extent cx="1085850" cy="326964"/>
                  <wp:effectExtent l="0" t="0" r="0" b="0"/>
                  <wp:docPr id="100" name="Picture 10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7D5EE3" w:rsidRPr="00BA5884" w:rsidRDefault="007D5EE3" w:rsidP="00080674">
            <w:pPr>
              <w:autoSpaceDE w:val="0"/>
              <w:autoSpaceDN w:val="0"/>
              <w:adjustRightInd w:val="0"/>
              <w:jc w:val="center"/>
              <w:rPr>
                <w:rFonts w:ascii="Calibri" w:eastAsia="Calibri" w:hAnsi="Calibri" w:cs="Calibri"/>
                <w:b/>
                <w:color w:val="632423" w:themeColor="accent2" w:themeShade="80"/>
                <w:sz w:val="8"/>
                <w:szCs w:val="8"/>
              </w:rPr>
            </w:pPr>
          </w:p>
        </w:tc>
      </w:tr>
      <w:tr w:rsidR="007D5EE3" w:rsidRPr="00BA5884" w:rsidTr="00080674">
        <w:tc>
          <w:tcPr>
            <w:tcW w:w="5420" w:type="dxa"/>
            <w:vMerge/>
          </w:tcPr>
          <w:p w:rsidR="007D5EE3" w:rsidRPr="00BA5884" w:rsidRDefault="007D5EE3" w:rsidP="00080674">
            <w:pPr>
              <w:autoSpaceDE w:val="0"/>
              <w:autoSpaceDN w:val="0"/>
              <w:adjustRightInd w:val="0"/>
              <w:jc w:val="center"/>
              <w:rPr>
                <w:rFonts w:ascii="Calibri" w:eastAsia="Calibri" w:hAnsi="Calibri" w:cs="Calibri"/>
                <w:b/>
                <w:color w:val="632423" w:themeColor="accent2" w:themeShade="80"/>
                <w:sz w:val="22"/>
                <w:szCs w:val="22"/>
              </w:rPr>
            </w:pPr>
          </w:p>
        </w:tc>
        <w:tc>
          <w:tcPr>
            <w:tcW w:w="1101" w:type="dxa"/>
          </w:tcPr>
          <w:p w:rsidR="007D5EE3"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2011/12:</w:t>
            </w:r>
          </w:p>
        </w:tc>
        <w:tc>
          <w:tcPr>
            <w:tcW w:w="2613" w:type="dxa"/>
          </w:tcPr>
          <w:p w:rsidR="007D5EE3" w:rsidRPr="00BA5884" w:rsidRDefault="007D5EE3" w:rsidP="00080674">
            <w:pPr>
              <w:autoSpaceDE w:val="0"/>
              <w:autoSpaceDN w:val="0"/>
              <w:adjustRightInd w:val="0"/>
              <w:rPr>
                <w:rFonts w:ascii="Calibri" w:eastAsia="Calibri" w:hAnsi="Calibri" w:cs="Calibri"/>
                <w:b/>
                <w:color w:val="632423" w:themeColor="accent2" w:themeShade="80"/>
                <w:sz w:val="22"/>
                <w:szCs w:val="22"/>
              </w:rPr>
            </w:pPr>
            <w:r w:rsidRPr="00B6465D">
              <w:rPr>
                <w:b/>
                <w:noProof/>
                <w:color w:val="984806" w:themeColor="accent6" w:themeShade="80"/>
                <w:sz w:val="32"/>
                <w:szCs w:val="32"/>
                <w:lang w:eastAsia="en-GB"/>
              </w:rPr>
              <w:drawing>
                <wp:inline distT="0" distB="0" distL="0" distR="0" wp14:anchorId="30E87EF0" wp14:editId="625A7C76">
                  <wp:extent cx="1085850" cy="326964"/>
                  <wp:effectExtent l="0" t="0" r="0" b="0"/>
                  <wp:docPr id="101" name="Picture 10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7D5EE3" w:rsidRDefault="007D5EE3" w:rsidP="00A31762">
      <w:pPr>
        <w:rPr>
          <w:color w:val="632423" w:themeColor="accent2" w:themeShade="80"/>
          <w:sz w:val="22"/>
          <w:szCs w:val="22"/>
        </w:rPr>
      </w:pPr>
    </w:p>
    <w:p w:rsidR="00707705" w:rsidRPr="00B47B04" w:rsidRDefault="00B47B04" w:rsidP="004335B5">
      <w:pPr>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In 2013/14 no planning permissions were granted contrary to Thames Valley Police objection. </w:t>
      </w:r>
    </w:p>
    <w:p w:rsidR="00707705" w:rsidRDefault="00707705" w:rsidP="00A31762">
      <w:pPr>
        <w:rPr>
          <w:color w:val="632423" w:themeColor="accent2" w:themeShade="80"/>
          <w:sz w:val="22"/>
          <w:szCs w:val="22"/>
        </w:rPr>
      </w:pPr>
    </w:p>
    <w:p w:rsidR="00AF5F8C" w:rsidRPr="00BA5884" w:rsidRDefault="00AC112B" w:rsidP="00AF5F8C">
      <w:pPr>
        <w:autoSpaceDE w:val="0"/>
        <w:autoSpaceDN w:val="0"/>
        <w:adjustRightInd w:val="0"/>
        <w:jc w:val="both"/>
        <w:rPr>
          <w:rFonts w:ascii="Calibri" w:eastAsia="Calibri" w:hAnsi="Calibri" w:cs="Calibri"/>
          <w:color w:val="632423" w:themeColor="accent2" w:themeShade="80"/>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698176" behindDoc="1" locked="0" layoutInCell="1" allowOverlap="1" wp14:anchorId="4465B710" wp14:editId="0D2CAA2C">
                <wp:simplePos x="0" y="0"/>
                <wp:positionH relativeFrom="column">
                  <wp:posOffset>-38100</wp:posOffset>
                </wp:positionH>
                <wp:positionV relativeFrom="paragraph">
                  <wp:posOffset>-4446</wp:posOffset>
                </wp:positionV>
                <wp:extent cx="5776595" cy="1609725"/>
                <wp:effectExtent l="0" t="0" r="0" b="9525"/>
                <wp:wrapNone/>
                <wp:docPr id="108" name="Rectangle 108"/>
                <wp:cNvGraphicFramePr/>
                <a:graphic xmlns:a="http://schemas.openxmlformats.org/drawingml/2006/main">
                  <a:graphicData uri="http://schemas.microsoft.com/office/word/2010/wordprocessingShape">
                    <wps:wsp>
                      <wps:cNvSpPr/>
                      <wps:spPr>
                        <a:xfrm>
                          <a:off x="0" y="0"/>
                          <a:ext cx="5776595" cy="1609725"/>
                        </a:xfrm>
                        <a:prstGeom prst="rect">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3pt;margin-top:-.35pt;width:454.85pt;height:12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" fillcolor="#f2dcdb" stroked="f" strokeweight="2pt"/>
            </w:pict>
          </mc:Fallback>
        </mc:AlternateContent>
      </w:r>
      <w:r w:rsidR="00AF5F8C" w:rsidRPr="00BA5884">
        <w:rPr>
          <w:rFonts w:ascii="Calibri" w:eastAsia="Calibri" w:hAnsi="Calibri" w:cs="Calibri"/>
          <w:b/>
          <w:color w:val="632423" w:themeColor="accent2" w:themeShade="80"/>
        </w:rPr>
        <w:t>Indicator 1</w:t>
      </w:r>
      <w:r w:rsidR="00AF5F8C">
        <w:rPr>
          <w:rFonts w:ascii="Calibri" w:eastAsia="Calibri" w:hAnsi="Calibri" w:cs="Calibri"/>
          <w:b/>
          <w:color w:val="632423" w:themeColor="accent2" w:themeShade="80"/>
        </w:rPr>
        <w:t>9:</w:t>
      </w:r>
      <w:r w:rsidR="00AF5F8C" w:rsidRPr="00BA5884">
        <w:rPr>
          <w:rFonts w:ascii="Calibri" w:eastAsia="Calibri" w:hAnsi="Calibri" w:cs="Calibri"/>
          <w:b/>
          <w:color w:val="632423" w:themeColor="accent2" w:themeShade="80"/>
        </w:rPr>
        <w:t xml:space="preserve"> </w:t>
      </w:r>
      <w:r w:rsidR="00912E86">
        <w:rPr>
          <w:rFonts w:ascii="Calibri" w:eastAsia="Calibri" w:hAnsi="Calibri" w:cs="Calibri"/>
          <w:b/>
          <w:color w:val="632423" w:themeColor="accent2" w:themeShade="80"/>
        </w:rPr>
        <w:t>NEIGHBOURHOOD PLANNING</w:t>
      </w:r>
    </w:p>
    <w:p w:rsidR="00AF5F8C" w:rsidRPr="00BA5884" w:rsidRDefault="00AF5F8C" w:rsidP="00AF5F8C">
      <w:pPr>
        <w:autoSpaceDE w:val="0"/>
        <w:autoSpaceDN w:val="0"/>
        <w:adjustRightInd w:val="0"/>
        <w:jc w:val="both"/>
        <w:rPr>
          <w:rFonts w:ascii="Calibri" w:eastAsia="Calibri" w:hAnsi="Calibri" w:cs="Calibri"/>
          <w:b/>
          <w:color w:val="632423" w:themeColor="accent2" w:themeShade="80"/>
          <w:sz w:val="10"/>
          <w:szCs w:val="22"/>
        </w:rPr>
      </w:pPr>
    </w:p>
    <w:p w:rsidR="00AF5F8C" w:rsidRDefault="00AF5F8C" w:rsidP="00AF5F8C">
      <w:pPr>
        <w:autoSpaceDE w:val="0"/>
        <w:autoSpaceDN w:val="0"/>
        <w:adjustRightInd w:val="0"/>
        <w:jc w:val="both"/>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 xml:space="preserve">Target: </w:t>
      </w:r>
      <w:r w:rsidR="00912E86">
        <w:rPr>
          <w:rFonts w:ascii="Calibri" w:eastAsia="Calibri" w:hAnsi="Calibri" w:cs="Calibri"/>
          <w:b/>
          <w:color w:val="632423" w:themeColor="accent2" w:themeShade="80"/>
          <w:sz w:val="22"/>
          <w:szCs w:val="22"/>
        </w:rPr>
        <w:t>Neighbourhood plans to set their own targets and be carried out in accordance with those targets</w:t>
      </w:r>
    </w:p>
    <w:p w:rsidR="00AF5F8C" w:rsidRPr="00BA5884" w:rsidRDefault="00AF5F8C" w:rsidP="00AF5F8C">
      <w:pPr>
        <w:autoSpaceDE w:val="0"/>
        <w:autoSpaceDN w:val="0"/>
        <w:adjustRightInd w:val="0"/>
        <w:jc w:val="both"/>
        <w:rPr>
          <w:rFonts w:ascii="Calibri" w:eastAsia="Calibri" w:hAnsi="Calibri" w:cs="Calibri"/>
          <w:b/>
          <w:color w:val="632423" w:themeColor="accent2"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AF5F8C" w:rsidRPr="00BA5884" w:rsidTr="00080674">
        <w:trPr>
          <w:trHeight w:val="218"/>
        </w:trPr>
        <w:tc>
          <w:tcPr>
            <w:tcW w:w="5420" w:type="dxa"/>
          </w:tcPr>
          <w:p w:rsidR="00AF5F8C" w:rsidRPr="00BA5884" w:rsidRDefault="00AF5F8C" w:rsidP="00080674">
            <w:pPr>
              <w:autoSpaceDE w:val="0"/>
              <w:autoSpaceDN w:val="0"/>
              <w:adjustRightInd w:val="0"/>
              <w:rPr>
                <w:b/>
                <w:noProof/>
                <w:color w:val="632423" w:themeColor="accent2" w:themeShade="80"/>
                <w:sz w:val="16"/>
                <w:szCs w:val="16"/>
                <w:lang w:eastAsia="en-GB"/>
              </w:rPr>
            </w:pPr>
            <w:r w:rsidRPr="00BA5884">
              <w:rPr>
                <w:rFonts w:ascii="Calibri" w:eastAsia="Calibri" w:hAnsi="Calibri" w:cs="Calibri"/>
                <w:b/>
                <w:color w:val="632423" w:themeColor="accent2" w:themeShade="80"/>
                <w:sz w:val="22"/>
                <w:szCs w:val="22"/>
              </w:rPr>
              <w:t>Performance against target 2013/14:</w:t>
            </w:r>
          </w:p>
        </w:tc>
        <w:tc>
          <w:tcPr>
            <w:tcW w:w="3714" w:type="dxa"/>
            <w:gridSpan w:val="2"/>
          </w:tcPr>
          <w:p w:rsidR="00AF5F8C" w:rsidRPr="00BA5884" w:rsidRDefault="00AF5F8C"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Performance in previous two years:</w:t>
            </w:r>
          </w:p>
        </w:tc>
      </w:tr>
      <w:tr w:rsidR="00AF5F8C" w:rsidRPr="00BA5884" w:rsidTr="00080674">
        <w:tc>
          <w:tcPr>
            <w:tcW w:w="5420" w:type="dxa"/>
            <w:vMerge w:val="restart"/>
          </w:tcPr>
          <w:p w:rsidR="00AF5F8C" w:rsidRPr="00BA5884" w:rsidRDefault="00AF5F8C" w:rsidP="00080674">
            <w:pPr>
              <w:autoSpaceDE w:val="0"/>
              <w:autoSpaceDN w:val="0"/>
              <w:adjustRightInd w:val="0"/>
              <w:jc w:val="center"/>
              <w:rPr>
                <w:rFonts w:ascii="Calibri" w:eastAsia="Calibri" w:hAnsi="Calibri" w:cs="Calibri"/>
                <w:b/>
                <w:color w:val="632423" w:themeColor="accent2" w:themeShade="80"/>
                <w:sz w:val="8"/>
                <w:szCs w:val="8"/>
              </w:rPr>
            </w:pPr>
          </w:p>
          <w:p w:rsidR="00AF5F8C" w:rsidRPr="00BA5884" w:rsidRDefault="00480BE1" w:rsidP="00080674">
            <w:pPr>
              <w:autoSpaceDE w:val="0"/>
              <w:autoSpaceDN w:val="0"/>
              <w:adjustRightInd w:val="0"/>
              <w:jc w:val="center"/>
              <w:rPr>
                <w:rFonts w:ascii="Calibri" w:eastAsia="Calibri" w:hAnsi="Calibri" w:cs="Calibri"/>
                <w:b/>
                <w:color w:val="632423" w:themeColor="accent2" w:themeShade="80"/>
                <w:sz w:val="12"/>
                <w:szCs w:val="12"/>
              </w:rPr>
            </w:pPr>
            <w:r w:rsidRPr="000B530E">
              <w:rPr>
                <w:b/>
                <w:noProof/>
                <w:color w:val="3F4F21"/>
                <w:sz w:val="32"/>
                <w:szCs w:val="32"/>
                <w:lang w:eastAsia="en-GB"/>
              </w:rPr>
              <w:drawing>
                <wp:inline distT="0" distB="0" distL="0" distR="0" wp14:anchorId="058906CC" wp14:editId="74D6650C">
                  <wp:extent cx="1666875" cy="501917"/>
                  <wp:effectExtent l="0" t="0" r="0" b="0"/>
                  <wp:docPr id="112" name="Picture 11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AF5F8C" w:rsidRPr="00BA5884" w:rsidRDefault="00AF5F8C"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2012/13:</w:t>
            </w:r>
          </w:p>
        </w:tc>
        <w:tc>
          <w:tcPr>
            <w:tcW w:w="2613" w:type="dxa"/>
          </w:tcPr>
          <w:p w:rsidR="00AF5F8C" w:rsidRPr="00BA5884" w:rsidRDefault="000612B6" w:rsidP="00080674">
            <w:pPr>
              <w:autoSpaceDE w:val="0"/>
              <w:autoSpaceDN w:val="0"/>
              <w:adjustRightInd w:val="0"/>
              <w:rPr>
                <w:rFonts w:ascii="Calibri" w:eastAsia="Calibri" w:hAnsi="Calibri" w:cs="Calibri"/>
                <w:b/>
                <w:color w:val="632423" w:themeColor="accent2" w:themeShade="80"/>
                <w:sz w:val="22"/>
                <w:szCs w:val="22"/>
              </w:rPr>
            </w:pPr>
            <w:r>
              <w:rPr>
                <w:b/>
                <w:noProof/>
                <w:sz w:val="32"/>
                <w:szCs w:val="32"/>
                <w:lang w:eastAsia="en-GB"/>
              </w:rPr>
              <w:drawing>
                <wp:inline distT="0" distB="0" distL="0" distR="0" wp14:anchorId="5FEF6C40" wp14:editId="7F18CCDB">
                  <wp:extent cx="1085850" cy="338644"/>
                  <wp:effectExtent l="0" t="0" r="0" b="4445"/>
                  <wp:docPr id="107" name="Picture 107"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AF5F8C" w:rsidRPr="00BA5884" w:rsidRDefault="00AF5F8C" w:rsidP="00080674">
            <w:pPr>
              <w:autoSpaceDE w:val="0"/>
              <w:autoSpaceDN w:val="0"/>
              <w:adjustRightInd w:val="0"/>
              <w:jc w:val="center"/>
              <w:rPr>
                <w:rFonts w:ascii="Calibri" w:eastAsia="Calibri" w:hAnsi="Calibri" w:cs="Calibri"/>
                <w:b/>
                <w:color w:val="632423" w:themeColor="accent2" w:themeShade="80"/>
                <w:sz w:val="8"/>
                <w:szCs w:val="8"/>
              </w:rPr>
            </w:pPr>
          </w:p>
        </w:tc>
      </w:tr>
      <w:tr w:rsidR="00AF5F8C" w:rsidRPr="00BA5884" w:rsidTr="00080674">
        <w:tc>
          <w:tcPr>
            <w:tcW w:w="5420" w:type="dxa"/>
            <w:vMerge/>
          </w:tcPr>
          <w:p w:rsidR="00AF5F8C" w:rsidRPr="00BA5884" w:rsidRDefault="00AF5F8C" w:rsidP="00080674">
            <w:pPr>
              <w:autoSpaceDE w:val="0"/>
              <w:autoSpaceDN w:val="0"/>
              <w:adjustRightInd w:val="0"/>
              <w:jc w:val="center"/>
              <w:rPr>
                <w:rFonts w:ascii="Calibri" w:eastAsia="Calibri" w:hAnsi="Calibri" w:cs="Calibri"/>
                <w:b/>
                <w:color w:val="632423" w:themeColor="accent2" w:themeShade="80"/>
                <w:sz w:val="22"/>
                <w:szCs w:val="22"/>
              </w:rPr>
            </w:pPr>
          </w:p>
        </w:tc>
        <w:tc>
          <w:tcPr>
            <w:tcW w:w="1101" w:type="dxa"/>
          </w:tcPr>
          <w:p w:rsidR="00AF5F8C" w:rsidRPr="008F4949" w:rsidRDefault="00AF5F8C" w:rsidP="00080674">
            <w:pPr>
              <w:autoSpaceDE w:val="0"/>
              <w:autoSpaceDN w:val="0"/>
              <w:adjustRightInd w:val="0"/>
              <w:rPr>
                <w:rFonts w:ascii="Calibri" w:eastAsia="Calibri" w:hAnsi="Calibri" w:cs="Calibri"/>
                <w:b/>
                <w:color w:val="632423" w:themeColor="accent2" w:themeShade="80"/>
                <w:sz w:val="22"/>
                <w:szCs w:val="22"/>
              </w:rPr>
            </w:pPr>
            <w:r w:rsidRPr="008F4949">
              <w:rPr>
                <w:rFonts w:ascii="Calibri" w:eastAsia="Calibri" w:hAnsi="Calibri" w:cs="Calibri"/>
                <w:b/>
                <w:color w:val="632423" w:themeColor="accent2" w:themeShade="80"/>
                <w:sz w:val="22"/>
                <w:szCs w:val="22"/>
              </w:rPr>
              <w:t>2011/12:</w:t>
            </w:r>
          </w:p>
        </w:tc>
        <w:tc>
          <w:tcPr>
            <w:tcW w:w="2613" w:type="dxa"/>
          </w:tcPr>
          <w:p w:rsidR="00AF5F8C" w:rsidRPr="008F4949" w:rsidRDefault="008F4949" w:rsidP="008F4949">
            <w:pPr>
              <w:autoSpaceDE w:val="0"/>
              <w:autoSpaceDN w:val="0"/>
              <w:adjustRightInd w:val="0"/>
              <w:rPr>
                <w:rFonts w:ascii="Calibri" w:eastAsia="Calibri" w:hAnsi="Calibri" w:cs="Calibri"/>
                <w:b/>
                <w:color w:val="632423" w:themeColor="accent2" w:themeShade="80"/>
                <w:sz w:val="20"/>
                <w:szCs w:val="20"/>
              </w:rPr>
            </w:pPr>
            <w:r w:rsidRPr="008F4949">
              <w:rPr>
                <w:b/>
                <w:noProof/>
                <w:color w:val="632423" w:themeColor="accent2" w:themeShade="80"/>
                <w:sz w:val="20"/>
                <w:szCs w:val="20"/>
                <w:lang w:eastAsia="en-GB"/>
              </w:rPr>
              <w:t>N/A</w:t>
            </w:r>
          </w:p>
        </w:tc>
      </w:tr>
    </w:tbl>
    <w:p w:rsidR="008F4949" w:rsidRDefault="008F4949" w:rsidP="00A31762">
      <w:pPr>
        <w:rPr>
          <w:color w:val="632423" w:themeColor="accent2" w:themeShade="80"/>
          <w:sz w:val="22"/>
          <w:szCs w:val="22"/>
        </w:rPr>
      </w:pPr>
    </w:p>
    <w:p w:rsidR="008610C6" w:rsidRDefault="008610C6" w:rsidP="00A31762">
      <w:pPr>
        <w:rPr>
          <w:color w:val="632423" w:themeColor="accent2" w:themeShade="80"/>
          <w:sz w:val="22"/>
          <w:szCs w:val="22"/>
        </w:rPr>
      </w:pPr>
    </w:p>
    <w:p w:rsidR="00796ED9" w:rsidRPr="00796ED9" w:rsidRDefault="00796ED9" w:rsidP="004335B5">
      <w:pPr>
        <w:numPr>
          <w:ilvl w:val="0"/>
          <w:numId w:val="6"/>
        </w:numPr>
        <w:spacing w:after="200" w:line="276" w:lineRule="auto"/>
        <w:jc w:val="both"/>
        <w:rPr>
          <w:rFonts w:ascii="Calibri" w:eastAsia="Calibri" w:hAnsi="Calibri" w:cs="Times New Roman"/>
          <w:sz w:val="22"/>
          <w:szCs w:val="22"/>
        </w:rPr>
      </w:pPr>
      <w:r w:rsidRPr="00796ED9">
        <w:rPr>
          <w:rFonts w:ascii="Calibri" w:eastAsia="Calibri" w:hAnsi="Calibri" w:cs="Times New Roman"/>
          <w:sz w:val="22"/>
          <w:szCs w:val="22"/>
        </w:rPr>
        <w:t xml:space="preserve">The 2011 Localism Act introduced new rights and powers for communities and individuals to enable them to get directly involved in planning for their areas. Neighbourhood planning will allow communities to come together through a parish council or neighbourhood forum and produce a neighbourhood plan. Neighbourhood plans are about developing land in a way that is sympathetic to the needs of local stakeholders and </w:t>
      </w:r>
      <w:r w:rsidR="008A733A">
        <w:rPr>
          <w:rFonts w:ascii="Calibri" w:eastAsia="Calibri" w:hAnsi="Calibri" w:cs="Times New Roman"/>
          <w:sz w:val="22"/>
          <w:szCs w:val="22"/>
        </w:rPr>
        <w:t>that gives</w:t>
      </w:r>
      <w:r w:rsidRPr="00796ED9">
        <w:rPr>
          <w:rFonts w:ascii="Calibri" w:eastAsia="Calibri" w:hAnsi="Calibri" w:cs="Times New Roman"/>
          <w:sz w:val="22"/>
          <w:szCs w:val="22"/>
        </w:rPr>
        <w:t xml:space="preserve"> local people a greater say in where new development should go and what it should look like. Once plans are adopted they will become an important consideration when making decisions on planning applications.</w:t>
      </w:r>
    </w:p>
    <w:p w:rsidR="00796ED9" w:rsidRDefault="00796ED9" w:rsidP="004335B5">
      <w:pPr>
        <w:numPr>
          <w:ilvl w:val="0"/>
          <w:numId w:val="6"/>
        </w:numPr>
        <w:spacing w:after="200" w:line="276" w:lineRule="auto"/>
        <w:jc w:val="both"/>
        <w:rPr>
          <w:rFonts w:ascii="Calibri" w:eastAsia="Calibri" w:hAnsi="Calibri" w:cs="Times New Roman"/>
          <w:sz w:val="22"/>
          <w:szCs w:val="22"/>
        </w:rPr>
      </w:pPr>
      <w:r w:rsidRPr="00796ED9">
        <w:rPr>
          <w:rFonts w:ascii="Calibri" w:eastAsia="Calibri" w:hAnsi="Calibri" w:cs="Times New Roman"/>
          <w:sz w:val="22"/>
          <w:szCs w:val="22"/>
        </w:rPr>
        <w:t xml:space="preserve">Two neighbourhood forums were formally designated at a City Executive Board Meeting on 22 January 2014. These neighbourhood Forums are: </w:t>
      </w:r>
    </w:p>
    <w:p w:rsidR="00796ED9" w:rsidRDefault="00796ED9" w:rsidP="004335B5">
      <w:pPr>
        <w:pStyle w:val="ListParagraph"/>
        <w:numPr>
          <w:ilvl w:val="0"/>
          <w:numId w:val="1"/>
        </w:numPr>
        <w:spacing w:after="200" w:line="276" w:lineRule="auto"/>
        <w:jc w:val="both"/>
        <w:rPr>
          <w:rFonts w:ascii="Calibri" w:eastAsia="Calibri" w:hAnsi="Calibri" w:cs="Times New Roman"/>
          <w:sz w:val="22"/>
          <w:szCs w:val="22"/>
        </w:rPr>
      </w:pPr>
      <w:proofErr w:type="spellStart"/>
      <w:r w:rsidRPr="00796ED9">
        <w:rPr>
          <w:rFonts w:ascii="Calibri" w:eastAsia="Calibri" w:hAnsi="Calibri" w:cs="Times New Roman"/>
          <w:sz w:val="22"/>
          <w:szCs w:val="22"/>
        </w:rPr>
        <w:t>Wolvercote</w:t>
      </w:r>
      <w:proofErr w:type="spellEnd"/>
      <w:r w:rsidRPr="00796ED9">
        <w:rPr>
          <w:rFonts w:ascii="Calibri" w:eastAsia="Calibri" w:hAnsi="Calibri" w:cs="Times New Roman"/>
          <w:sz w:val="22"/>
          <w:szCs w:val="22"/>
        </w:rPr>
        <w:t xml:space="preserve"> (relating to the </w:t>
      </w:r>
      <w:proofErr w:type="spellStart"/>
      <w:r w:rsidRPr="00796ED9">
        <w:rPr>
          <w:rFonts w:ascii="Calibri" w:eastAsia="Calibri" w:hAnsi="Calibri" w:cs="Times New Roman"/>
          <w:sz w:val="22"/>
          <w:szCs w:val="22"/>
        </w:rPr>
        <w:t>Wolvercote</w:t>
      </w:r>
      <w:proofErr w:type="spellEnd"/>
      <w:r w:rsidRPr="00796ED9">
        <w:rPr>
          <w:rFonts w:ascii="Calibri" w:eastAsia="Calibri" w:hAnsi="Calibri" w:cs="Times New Roman"/>
          <w:sz w:val="22"/>
          <w:szCs w:val="22"/>
        </w:rPr>
        <w:t xml:space="preserve"> neighbourhood area, which follows the </w:t>
      </w:r>
      <w:proofErr w:type="spellStart"/>
      <w:r w:rsidRPr="00796ED9">
        <w:rPr>
          <w:rFonts w:ascii="Calibri" w:eastAsia="Calibri" w:hAnsi="Calibri" w:cs="Times New Roman"/>
          <w:sz w:val="22"/>
          <w:szCs w:val="22"/>
        </w:rPr>
        <w:t>Wolvercote</w:t>
      </w:r>
      <w:proofErr w:type="spellEnd"/>
      <w:r w:rsidRPr="00796ED9">
        <w:rPr>
          <w:rFonts w:ascii="Calibri" w:eastAsia="Calibri" w:hAnsi="Calibri" w:cs="Times New Roman"/>
          <w:sz w:val="22"/>
          <w:szCs w:val="22"/>
        </w:rPr>
        <w:t xml:space="preserve"> ward boundary); and</w:t>
      </w:r>
    </w:p>
    <w:p w:rsidR="00796ED9" w:rsidRDefault="00796ED9" w:rsidP="004335B5">
      <w:pPr>
        <w:pStyle w:val="ListParagraph"/>
        <w:numPr>
          <w:ilvl w:val="0"/>
          <w:numId w:val="1"/>
        </w:numPr>
        <w:spacing w:after="200" w:line="276" w:lineRule="auto"/>
        <w:jc w:val="both"/>
        <w:rPr>
          <w:rFonts w:ascii="Calibri" w:eastAsia="Calibri" w:hAnsi="Calibri" w:cs="Times New Roman"/>
          <w:sz w:val="22"/>
          <w:szCs w:val="22"/>
        </w:rPr>
      </w:pPr>
      <w:r w:rsidRPr="00796ED9">
        <w:rPr>
          <w:rFonts w:ascii="Calibri" w:eastAsia="Calibri" w:hAnsi="Calibri" w:cs="Times New Roman"/>
          <w:sz w:val="22"/>
          <w:szCs w:val="22"/>
        </w:rPr>
        <w:t>Summertown/St Margaret’s (relating to the Summertown/St Margaret’s neighbourhood area, which follows the ward boundaries).</w:t>
      </w:r>
    </w:p>
    <w:p w:rsidR="00796ED9" w:rsidRDefault="00796ED9" w:rsidP="00796ED9">
      <w:pPr>
        <w:spacing w:after="200" w:line="276" w:lineRule="auto"/>
        <w:ind w:left="360"/>
        <w:jc w:val="both"/>
        <w:rPr>
          <w:rFonts w:ascii="Calibri" w:eastAsia="Calibri" w:hAnsi="Calibri" w:cs="Times New Roman"/>
          <w:sz w:val="22"/>
          <w:szCs w:val="22"/>
        </w:rPr>
      </w:pPr>
      <w:r w:rsidRPr="00796ED9">
        <w:rPr>
          <w:rFonts w:ascii="Calibri" w:eastAsia="Calibri" w:hAnsi="Calibri" w:cs="Times New Roman"/>
          <w:sz w:val="22"/>
          <w:szCs w:val="22"/>
        </w:rPr>
        <w:t xml:space="preserve">An application to designate the </w:t>
      </w:r>
      <w:proofErr w:type="spellStart"/>
      <w:r w:rsidRPr="00796ED9">
        <w:rPr>
          <w:rFonts w:ascii="Calibri" w:eastAsia="Calibri" w:hAnsi="Calibri" w:cs="Times New Roman"/>
          <w:sz w:val="22"/>
          <w:szCs w:val="22"/>
        </w:rPr>
        <w:t>Headington</w:t>
      </w:r>
      <w:proofErr w:type="spellEnd"/>
      <w:r w:rsidRPr="00796ED9">
        <w:rPr>
          <w:rFonts w:ascii="Calibri" w:eastAsia="Calibri" w:hAnsi="Calibri" w:cs="Times New Roman"/>
          <w:sz w:val="22"/>
          <w:szCs w:val="22"/>
        </w:rPr>
        <w:t xml:space="preserve"> Neighbourhood Forum will also be considered during the next monitoring year. </w:t>
      </w:r>
    </w:p>
    <w:p w:rsidR="00C81C3E" w:rsidRPr="0028433A" w:rsidRDefault="003B2789"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The designation of neighbourhood forums is the first step towards the creation of neighbourhood plans. </w:t>
      </w:r>
      <w:r w:rsidR="00480BE1">
        <w:rPr>
          <w:rFonts w:ascii="Calibri" w:hAnsi="Calibri" w:cs="Calibri"/>
          <w:color w:val="000000"/>
          <w:sz w:val="22"/>
          <w:szCs w:val="22"/>
        </w:rPr>
        <w:t>Neighbourhood forums will now be spending time developing their neighbourhood plans.</w:t>
      </w:r>
      <w:r w:rsidR="00707705" w:rsidRPr="00707705">
        <w:rPr>
          <w:rFonts w:ascii="Calibri" w:eastAsia="Calibri" w:hAnsi="Calibri" w:cs="Calibri"/>
          <w:b/>
          <w:noProof/>
          <w:color w:val="000000"/>
          <w:sz w:val="32"/>
          <w:szCs w:val="32"/>
          <w:lang w:eastAsia="en-GB"/>
        </w:rPr>
        <w:t xml:space="preserve"> </w:t>
      </w:r>
    </w:p>
    <w:p w:rsidR="0028433A" w:rsidRDefault="0028433A" w:rsidP="0028433A">
      <w:pPr>
        <w:pStyle w:val="ListParagraph"/>
        <w:spacing w:after="200" w:line="276" w:lineRule="auto"/>
        <w:ind w:left="502"/>
        <w:jc w:val="both"/>
        <w:rPr>
          <w:rFonts w:ascii="Calibri" w:eastAsia="Calibri" w:hAnsi="Calibri" w:cs="Times New Roman"/>
          <w:sz w:val="22"/>
          <w:szCs w:val="22"/>
        </w:rPr>
      </w:pPr>
    </w:p>
    <w:p w:rsidR="00B47B04" w:rsidRPr="008610C6" w:rsidRDefault="00B47B04" w:rsidP="0028433A">
      <w:pPr>
        <w:pStyle w:val="ListParagraph"/>
        <w:spacing w:after="200" w:line="276" w:lineRule="auto"/>
        <w:ind w:left="502"/>
        <w:jc w:val="both"/>
        <w:rPr>
          <w:rFonts w:ascii="Calibri" w:eastAsia="Calibri" w:hAnsi="Calibri" w:cs="Times New Roman"/>
          <w:sz w:val="22"/>
          <w:szCs w:val="22"/>
        </w:rPr>
      </w:pPr>
    </w:p>
    <w:p w:rsidR="00C81C3E" w:rsidRPr="00BA5884" w:rsidRDefault="00AC33B2" w:rsidP="00C81C3E">
      <w:pPr>
        <w:autoSpaceDE w:val="0"/>
        <w:autoSpaceDN w:val="0"/>
        <w:adjustRightInd w:val="0"/>
        <w:jc w:val="both"/>
        <w:rPr>
          <w:rFonts w:ascii="Calibri" w:eastAsia="Calibri" w:hAnsi="Calibri" w:cs="Calibri"/>
          <w:color w:val="632423" w:themeColor="accent2" w:themeShade="80"/>
        </w:rPr>
      </w:pPr>
      <w:r w:rsidRPr="00707705">
        <w:rPr>
          <w:b/>
          <w:noProof/>
          <w:color w:val="000000"/>
          <w:lang w:eastAsia="en-GB"/>
        </w:rPr>
        <w:lastRenderedPageBreak/>
        <mc:AlternateContent>
          <mc:Choice Requires="wps">
            <w:drawing>
              <wp:anchor distT="0" distB="0" distL="114300" distR="114300" simplePos="0" relativeHeight="251801600" behindDoc="0" locked="0" layoutInCell="1" allowOverlap="1" wp14:anchorId="7577E631" wp14:editId="13C6D094">
                <wp:simplePos x="0" y="0"/>
                <wp:positionH relativeFrom="column">
                  <wp:posOffset>3402965</wp:posOffset>
                </wp:positionH>
                <wp:positionV relativeFrom="paragraph">
                  <wp:posOffset>-619760</wp:posOffset>
                </wp:positionV>
                <wp:extent cx="2427605" cy="352425"/>
                <wp:effectExtent l="0" t="0" r="0" b="9525"/>
                <wp:wrapNone/>
                <wp:docPr id="114" name="Text Box 114"/>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707705">
                            <w:pPr>
                              <w:jc w:val="right"/>
                              <w:rPr>
                                <w:b/>
                                <w:color w:val="632423" w:themeColor="accent2" w:themeShade="80"/>
                              </w:rPr>
                            </w:pPr>
                            <w:r w:rsidRPr="00280EB5">
                              <w:rPr>
                                <w:b/>
                                <w:color w:val="632423" w:themeColor="accent2" w:themeShade="80"/>
                              </w:rPr>
                              <w:t>Strong, Active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4" o:spid="_x0000_s1066" type="#_x0000_t202" style="position:absolute;left:0;text-align:left;margin-left:267.95pt;margin-top:-48.8pt;width:191.15pt;height:27.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" fillcolor="window" stroked="f" strokeweight=".5pt">
                <v:textbox>
                  <w:txbxContent>
                    <w:p w:rsidR="000D3CFF" w:rsidRPr="00280EB5" w:rsidRDefault="000D3CFF" w:rsidP="00707705">
                      <w:pPr>
                        <w:jc w:val="right"/>
                        <w:rPr>
                          <w:b/>
                          <w:color w:val="632423" w:themeColor="accent2" w:themeShade="80"/>
                        </w:rPr>
                      </w:pPr>
                      <w:r w:rsidRPr="00280EB5">
                        <w:rPr>
                          <w:b/>
                          <w:color w:val="632423" w:themeColor="accent2" w:themeShade="80"/>
                        </w:rPr>
                        <w:t>Strong, Active Communities</w:t>
                      </w:r>
                    </w:p>
                  </w:txbxContent>
                </v:textbox>
              </v:shape>
            </w:pict>
          </mc:Fallback>
        </mc:AlternateContent>
      </w:r>
      <w:r w:rsidR="00C81C3E">
        <w:rPr>
          <w:noProof/>
          <w:lang w:eastAsia="en-GB"/>
        </w:rPr>
        <mc:AlternateContent>
          <mc:Choice Requires="wps">
            <w:drawing>
              <wp:anchor distT="0" distB="0" distL="114300" distR="114300" simplePos="0" relativeHeight="251803648" behindDoc="1" locked="0" layoutInCell="1" allowOverlap="1" wp14:anchorId="4D3C6B19" wp14:editId="21E573CD">
                <wp:simplePos x="0" y="0"/>
                <wp:positionH relativeFrom="column">
                  <wp:posOffset>-19050</wp:posOffset>
                </wp:positionH>
                <wp:positionV relativeFrom="paragraph">
                  <wp:posOffset>-95250</wp:posOffset>
                </wp:positionV>
                <wp:extent cx="5799455" cy="1628775"/>
                <wp:effectExtent l="0" t="0" r="0" b="9525"/>
                <wp:wrapNone/>
                <wp:docPr id="116" name="Rectangle 116"/>
                <wp:cNvGraphicFramePr/>
                <a:graphic xmlns:a="http://schemas.openxmlformats.org/drawingml/2006/main">
                  <a:graphicData uri="http://schemas.microsoft.com/office/word/2010/wordprocessingShape">
                    <wps:wsp>
                      <wps:cNvSpPr/>
                      <wps:spPr>
                        <a:xfrm>
                          <a:off x="0" y="0"/>
                          <a:ext cx="5799455" cy="1628775"/>
                        </a:xfrm>
                        <a:prstGeom prst="rect">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1.5pt;margin-top:-7.5pt;width:456.65pt;height:128.2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" fillcolor="#f2dcdb" stroked="f" strokeweight="2pt"/>
            </w:pict>
          </mc:Fallback>
        </mc:AlternateContent>
      </w:r>
      <w:r w:rsidR="00C81C3E" w:rsidRPr="00BA5884">
        <w:rPr>
          <w:rFonts w:ascii="Calibri" w:eastAsia="Calibri" w:hAnsi="Calibri" w:cs="Calibri"/>
          <w:b/>
          <w:color w:val="632423" w:themeColor="accent2" w:themeShade="80"/>
        </w:rPr>
        <w:t xml:space="preserve">Indicator </w:t>
      </w:r>
      <w:r w:rsidR="00C81C3E">
        <w:rPr>
          <w:rFonts w:ascii="Calibri" w:eastAsia="Calibri" w:hAnsi="Calibri" w:cs="Calibri"/>
          <w:b/>
          <w:color w:val="632423" w:themeColor="accent2" w:themeShade="80"/>
        </w:rPr>
        <w:t>20: WEST END AREA ACTION PLAN</w:t>
      </w:r>
    </w:p>
    <w:p w:rsidR="00C81C3E" w:rsidRDefault="00C81C3E" w:rsidP="00C81C3E">
      <w:pPr>
        <w:autoSpaceDE w:val="0"/>
        <w:autoSpaceDN w:val="0"/>
        <w:adjustRightInd w:val="0"/>
        <w:jc w:val="both"/>
        <w:rPr>
          <w:rFonts w:ascii="Calibri" w:eastAsia="Calibri" w:hAnsi="Calibri" w:cs="Times New Roman"/>
          <w:sz w:val="22"/>
          <w:szCs w:val="22"/>
        </w:rPr>
      </w:pPr>
    </w:p>
    <w:p w:rsidR="00C81C3E" w:rsidRDefault="00C81C3E" w:rsidP="00C81C3E">
      <w:pPr>
        <w:autoSpaceDE w:val="0"/>
        <w:autoSpaceDN w:val="0"/>
        <w:adjustRightInd w:val="0"/>
        <w:jc w:val="both"/>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 xml:space="preserve">Target: </w:t>
      </w:r>
      <w:r w:rsidR="0028433A" w:rsidRPr="00EC00D8">
        <w:rPr>
          <w:rFonts w:ascii="Calibri" w:eastAsia="Calibri" w:hAnsi="Calibri" w:cs="Calibri"/>
          <w:b/>
          <w:i/>
          <w:color w:val="632423" w:themeColor="accent2" w:themeShade="80"/>
          <w:sz w:val="22"/>
          <w:szCs w:val="22"/>
        </w:rPr>
        <w:t>The</w:t>
      </w:r>
      <w:r w:rsidR="00732FE4" w:rsidRPr="00EC00D8">
        <w:rPr>
          <w:rFonts w:ascii="Calibri" w:eastAsia="Calibri" w:hAnsi="Calibri" w:cs="Calibri"/>
          <w:b/>
          <w:i/>
          <w:color w:val="632423" w:themeColor="accent2" w:themeShade="80"/>
          <w:sz w:val="22"/>
          <w:szCs w:val="22"/>
        </w:rPr>
        <w:t xml:space="preserve"> </w:t>
      </w:r>
      <w:r w:rsidR="00EC00D8">
        <w:rPr>
          <w:rFonts w:ascii="Calibri" w:eastAsia="Calibri" w:hAnsi="Calibri" w:cs="Calibri"/>
          <w:b/>
          <w:i/>
          <w:color w:val="632423" w:themeColor="accent2" w:themeShade="80"/>
          <w:sz w:val="22"/>
          <w:szCs w:val="22"/>
        </w:rPr>
        <w:t>Area Action Plan</w:t>
      </w:r>
      <w:r w:rsidR="00732FE4" w:rsidRPr="00EC00D8">
        <w:rPr>
          <w:rFonts w:ascii="Calibri" w:eastAsia="Calibri" w:hAnsi="Calibri" w:cs="Calibri"/>
          <w:b/>
          <w:i/>
          <w:color w:val="632423" w:themeColor="accent2" w:themeShade="80"/>
          <w:sz w:val="22"/>
          <w:szCs w:val="22"/>
        </w:rPr>
        <w:t xml:space="preserve"> </w:t>
      </w:r>
      <w:r w:rsidR="0028433A" w:rsidRPr="00EC00D8">
        <w:rPr>
          <w:rFonts w:ascii="Calibri" w:eastAsia="Calibri" w:hAnsi="Calibri" w:cs="Calibri"/>
          <w:b/>
          <w:i/>
          <w:color w:val="632423" w:themeColor="accent2" w:themeShade="80"/>
          <w:sz w:val="22"/>
          <w:szCs w:val="22"/>
        </w:rPr>
        <w:t xml:space="preserve">sets </w:t>
      </w:r>
      <w:r w:rsidR="00EC00D8">
        <w:rPr>
          <w:rFonts w:ascii="Calibri" w:eastAsia="Calibri" w:hAnsi="Calibri" w:cs="Calibri"/>
          <w:b/>
          <w:i/>
          <w:color w:val="632423" w:themeColor="accent2" w:themeShade="80"/>
          <w:sz w:val="22"/>
          <w:szCs w:val="22"/>
        </w:rPr>
        <w:t>targets to monitor progress</w:t>
      </w:r>
      <w:r w:rsidR="0028433A" w:rsidRPr="00EC00D8">
        <w:rPr>
          <w:rFonts w:ascii="Calibri" w:eastAsia="Calibri" w:hAnsi="Calibri" w:cs="Calibri"/>
          <w:b/>
          <w:i/>
          <w:color w:val="632423" w:themeColor="accent2" w:themeShade="80"/>
          <w:sz w:val="22"/>
          <w:szCs w:val="22"/>
        </w:rPr>
        <w:t xml:space="preserve"> </w:t>
      </w:r>
    </w:p>
    <w:p w:rsidR="00C81C3E" w:rsidRPr="00BA5884" w:rsidRDefault="00C81C3E" w:rsidP="00C81C3E">
      <w:pPr>
        <w:autoSpaceDE w:val="0"/>
        <w:autoSpaceDN w:val="0"/>
        <w:adjustRightInd w:val="0"/>
        <w:jc w:val="both"/>
        <w:rPr>
          <w:rFonts w:ascii="Calibri" w:eastAsia="Calibri" w:hAnsi="Calibri" w:cs="Calibri"/>
          <w:b/>
          <w:color w:val="632423" w:themeColor="accent2"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C81C3E" w:rsidRPr="00BA5884" w:rsidTr="00962781">
        <w:trPr>
          <w:trHeight w:val="218"/>
        </w:trPr>
        <w:tc>
          <w:tcPr>
            <w:tcW w:w="5420" w:type="dxa"/>
          </w:tcPr>
          <w:p w:rsidR="00C81C3E" w:rsidRPr="00BA5884" w:rsidRDefault="00C81C3E" w:rsidP="00962781">
            <w:pPr>
              <w:autoSpaceDE w:val="0"/>
              <w:autoSpaceDN w:val="0"/>
              <w:adjustRightInd w:val="0"/>
              <w:rPr>
                <w:b/>
                <w:noProof/>
                <w:color w:val="632423" w:themeColor="accent2" w:themeShade="80"/>
                <w:sz w:val="16"/>
                <w:szCs w:val="16"/>
                <w:lang w:eastAsia="en-GB"/>
              </w:rPr>
            </w:pPr>
            <w:r w:rsidRPr="00BA5884">
              <w:rPr>
                <w:rFonts w:ascii="Calibri" w:eastAsia="Calibri" w:hAnsi="Calibri" w:cs="Calibri"/>
                <w:b/>
                <w:color w:val="632423" w:themeColor="accent2" w:themeShade="80"/>
                <w:sz w:val="22"/>
                <w:szCs w:val="22"/>
              </w:rPr>
              <w:t>Performance against target 2013/14:</w:t>
            </w:r>
          </w:p>
        </w:tc>
        <w:tc>
          <w:tcPr>
            <w:tcW w:w="3714" w:type="dxa"/>
            <w:gridSpan w:val="2"/>
          </w:tcPr>
          <w:p w:rsidR="00C81C3E" w:rsidRPr="00BA5884" w:rsidRDefault="00C81C3E" w:rsidP="00962781">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Performance in previous two years:</w:t>
            </w:r>
          </w:p>
        </w:tc>
      </w:tr>
      <w:tr w:rsidR="00C81C3E" w:rsidRPr="00BA5884" w:rsidTr="00950135">
        <w:trPr>
          <w:trHeight w:val="331"/>
        </w:trPr>
        <w:tc>
          <w:tcPr>
            <w:tcW w:w="5420" w:type="dxa"/>
            <w:vMerge w:val="restart"/>
          </w:tcPr>
          <w:p w:rsidR="00C81C3E" w:rsidRPr="00BA5884" w:rsidRDefault="00C81C3E" w:rsidP="00962781">
            <w:pPr>
              <w:autoSpaceDE w:val="0"/>
              <w:autoSpaceDN w:val="0"/>
              <w:adjustRightInd w:val="0"/>
              <w:jc w:val="center"/>
              <w:rPr>
                <w:rFonts w:ascii="Calibri" w:eastAsia="Calibri" w:hAnsi="Calibri" w:cs="Calibri"/>
                <w:b/>
                <w:color w:val="632423" w:themeColor="accent2" w:themeShade="80"/>
                <w:sz w:val="8"/>
                <w:szCs w:val="8"/>
              </w:rPr>
            </w:pPr>
          </w:p>
          <w:p w:rsidR="00C81C3E" w:rsidRPr="00BA5884" w:rsidRDefault="001A036B" w:rsidP="00962781">
            <w:pPr>
              <w:autoSpaceDE w:val="0"/>
              <w:autoSpaceDN w:val="0"/>
              <w:adjustRightInd w:val="0"/>
              <w:jc w:val="center"/>
              <w:rPr>
                <w:rFonts w:ascii="Calibri" w:eastAsia="Calibri" w:hAnsi="Calibri" w:cs="Calibri"/>
                <w:b/>
                <w:color w:val="632423" w:themeColor="accent2" w:themeShade="80"/>
                <w:sz w:val="12"/>
                <w:szCs w:val="12"/>
              </w:rPr>
            </w:pPr>
            <w:r w:rsidRPr="000B530E">
              <w:rPr>
                <w:b/>
                <w:noProof/>
                <w:color w:val="3F4F21"/>
                <w:sz w:val="32"/>
                <w:szCs w:val="32"/>
                <w:lang w:eastAsia="en-GB"/>
              </w:rPr>
              <w:drawing>
                <wp:inline distT="0" distB="0" distL="0" distR="0" wp14:anchorId="7A985184" wp14:editId="407C312F">
                  <wp:extent cx="1666875" cy="501917"/>
                  <wp:effectExtent l="0" t="0" r="0" b="0"/>
                  <wp:docPr id="78" name="Picture 7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C81C3E" w:rsidRPr="00BA5884" w:rsidRDefault="00C81C3E" w:rsidP="00962781">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2012/13:</w:t>
            </w:r>
          </w:p>
        </w:tc>
        <w:tc>
          <w:tcPr>
            <w:tcW w:w="2613" w:type="dxa"/>
          </w:tcPr>
          <w:p w:rsidR="00C81C3E" w:rsidRPr="00950135" w:rsidRDefault="00C81C3E" w:rsidP="00962781">
            <w:pPr>
              <w:autoSpaceDE w:val="0"/>
              <w:autoSpaceDN w:val="0"/>
              <w:adjustRightInd w:val="0"/>
              <w:rPr>
                <w:noProof/>
                <w:color w:val="632423" w:themeColor="accent2" w:themeShade="80"/>
                <w:sz w:val="20"/>
                <w:szCs w:val="20"/>
                <w:lang w:eastAsia="en-GB"/>
              </w:rPr>
            </w:pPr>
            <w:r w:rsidRPr="00950135">
              <w:rPr>
                <w:noProof/>
                <w:color w:val="632423" w:themeColor="accent2" w:themeShade="80"/>
                <w:sz w:val="20"/>
                <w:szCs w:val="20"/>
                <w:lang w:eastAsia="en-GB"/>
              </w:rPr>
              <w:t>Multiple Indicators</w:t>
            </w:r>
          </w:p>
          <w:p w:rsidR="00C81C3E" w:rsidRPr="00950135" w:rsidRDefault="00C81C3E" w:rsidP="00962781">
            <w:pPr>
              <w:autoSpaceDE w:val="0"/>
              <w:autoSpaceDN w:val="0"/>
              <w:adjustRightInd w:val="0"/>
              <w:jc w:val="center"/>
              <w:rPr>
                <w:rFonts w:ascii="Calibri" w:eastAsia="Calibri" w:hAnsi="Calibri" w:cs="Calibri"/>
                <w:color w:val="632423" w:themeColor="accent2" w:themeShade="80"/>
                <w:sz w:val="8"/>
                <w:szCs w:val="8"/>
              </w:rPr>
            </w:pPr>
          </w:p>
        </w:tc>
      </w:tr>
      <w:tr w:rsidR="00C81C3E" w:rsidRPr="00BA5884" w:rsidTr="00962781">
        <w:tc>
          <w:tcPr>
            <w:tcW w:w="5420" w:type="dxa"/>
            <w:vMerge/>
          </w:tcPr>
          <w:p w:rsidR="00C81C3E" w:rsidRPr="00BA5884" w:rsidRDefault="00C81C3E" w:rsidP="00962781">
            <w:pPr>
              <w:autoSpaceDE w:val="0"/>
              <w:autoSpaceDN w:val="0"/>
              <w:adjustRightInd w:val="0"/>
              <w:jc w:val="center"/>
              <w:rPr>
                <w:rFonts w:ascii="Calibri" w:eastAsia="Calibri" w:hAnsi="Calibri" w:cs="Calibri"/>
                <w:b/>
                <w:color w:val="632423" w:themeColor="accent2" w:themeShade="80"/>
                <w:sz w:val="22"/>
                <w:szCs w:val="22"/>
              </w:rPr>
            </w:pPr>
          </w:p>
        </w:tc>
        <w:tc>
          <w:tcPr>
            <w:tcW w:w="1101" w:type="dxa"/>
          </w:tcPr>
          <w:p w:rsidR="00C81C3E" w:rsidRPr="008F4949" w:rsidRDefault="00C81C3E" w:rsidP="00962781">
            <w:pPr>
              <w:autoSpaceDE w:val="0"/>
              <w:autoSpaceDN w:val="0"/>
              <w:adjustRightInd w:val="0"/>
              <w:rPr>
                <w:rFonts w:ascii="Calibri" w:eastAsia="Calibri" w:hAnsi="Calibri" w:cs="Calibri"/>
                <w:b/>
                <w:color w:val="632423" w:themeColor="accent2" w:themeShade="80"/>
                <w:sz w:val="22"/>
                <w:szCs w:val="22"/>
              </w:rPr>
            </w:pPr>
            <w:r w:rsidRPr="008F4949">
              <w:rPr>
                <w:rFonts w:ascii="Calibri" w:eastAsia="Calibri" w:hAnsi="Calibri" w:cs="Calibri"/>
                <w:b/>
                <w:color w:val="632423" w:themeColor="accent2" w:themeShade="80"/>
                <w:sz w:val="22"/>
                <w:szCs w:val="22"/>
              </w:rPr>
              <w:t>2011/12:</w:t>
            </w:r>
          </w:p>
        </w:tc>
        <w:tc>
          <w:tcPr>
            <w:tcW w:w="2613" w:type="dxa"/>
          </w:tcPr>
          <w:p w:rsidR="00950135" w:rsidRPr="00950135" w:rsidRDefault="00950135" w:rsidP="00950135">
            <w:pPr>
              <w:autoSpaceDE w:val="0"/>
              <w:autoSpaceDN w:val="0"/>
              <w:adjustRightInd w:val="0"/>
              <w:rPr>
                <w:noProof/>
                <w:color w:val="632423" w:themeColor="accent2" w:themeShade="80"/>
                <w:sz w:val="20"/>
                <w:szCs w:val="20"/>
                <w:lang w:eastAsia="en-GB"/>
              </w:rPr>
            </w:pPr>
            <w:r w:rsidRPr="00950135">
              <w:rPr>
                <w:noProof/>
                <w:color w:val="632423" w:themeColor="accent2" w:themeShade="80"/>
                <w:sz w:val="20"/>
                <w:szCs w:val="20"/>
                <w:lang w:eastAsia="en-GB"/>
              </w:rPr>
              <w:t>Multiple Indicators</w:t>
            </w:r>
          </w:p>
          <w:p w:rsidR="00C81C3E" w:rsidRPr="00950135" w:rsidRDefault="00C81C3E" w:rsidP="00962781">
            <w:pPr>
              <w:autoSpaceDE w:val="0"/>
              <w:autoSpaceDN w:val="0"/>
              <w:adjustRightInd w:val="0"/>
              <w:rPr>
                <w:rFonts w:ascii="Calibri" w:eastAsia="Calibri" w:hAnsi="Calibri" w:cs="Calibri"/>
                <w:color w:val="632423" w:themeColor="accent2" w:themeShade="80"/>
                <w:sz w:val="20"/>
                <w:szCs w:val="20"/>
              </w:rPr>
            </w:pPr>
          </w:p>
        </w:tc>
      </w:tr>
    </w:tbl>
    <w:p w:rsidR="00C81C3E" w:rsidRPr="00C81C3E" w:rsidRDefault="00C81C3E" w:rsidP="00C81C3E">
      <w:pPr>
        <w:spacing w:after="200" w:line="276" w:lineRule="auto"/>
        <w:jc w:val="both"/>
        <w:rPr>
          <w:rFonts w:ascii="Calibri" w:eastAsia="Calibri" w:hAnsi="Calibri" w:cs="Times New Roman"/>
          <w:sz w:val="22"/>
          <w:szCs w:val="22"/>
        </w:rPr>
      </w:pPr>
    </w:p>
    <w:p w:rsidR="00962781" w:rsidRPr="006D1D91" w:rsidRDefault="00C81C3E"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The West End AAP aims to </w:t>
      </w:r>
      <w:r w:rsidR="004432A1">
        <w:rPr>
          <w:rFonts w:ascii="Calibri" w:eastAsia="Calibri" w:hAnsi="Calibri" w:cs="Times New Roman"/>
          <w:sz w:val="22"/>
          <w:szCs w:val="22"/>
        </w:rPr>
        <w:t xml:space="preserve">regenerate and </w:t>
      </w:r>
      <w:r>
        <w:rPr>
          <w:rFonts w:ascii="Calibri" w:eastAsia="Calibri" w:hAnsi="Calibri" w:cs="Times New Roman"/>
          <w:sz w:val="22"/>
          <w:szCs w:val="22"/>
        </w:rPr>
        <w:t>transform a ke</w:t>
      </w:r>
      <w:r w:rsidR="00962781">
        <w:rPr>
          <w:rFonts w:ascii="Calibri" w:eastAsia="Calibri" w:hAnsi="Calibri" w:cs="Times New Roman"/>
          <w:sz w:val="22"/>
          <w:szCs w:val="22"/>
        </w:rPr>
        <w:t xml:space="preserve">y part of the </w:t>
      </w:r>
      <w:r w:rsidR="003161C9">
        <w:rPr>
          <w:rFonts w:ascii="Calibri" w:eastAsia="Calibri" w:hAnsi="Calibri" w:cs="Times New Roman"/>
          <w:sz w:val="22"/>
          <w:szCs w:val="22"/>
        </w:rPr>
        <w:t>city centre</w:t>
      </w:r>
      <w:r w:rsidR="00962781">
        <w:rPr>
          <w:rFonts w:ascii="Calibri" w:eastAsia="Calibri" w:hAnsi="Calibri" w:cs="Times New Roman"/>
          <w:sz w:val="22"/>
          <w:szCs w:val="22"/>
        </w:rPr>
        <w:t xml:space="preserve"> in line</w:t>
      </w:r>
      <w:r>
        <w:rPr>
          <w:rFonts w:ascii="Calibri" w:eastAsia="Calibri" w:hAnsi="Calibri" w:cs="Times New Roman"/>
          <w:sz w:val="22"/>
          <w:szCs w:val="22"/>
        </w:rPr>
        <w:t xml:space="preserve"> with Oxford’s aspiration to be a world class city.</w:t>
      </w:r>
      <w:r w:rsidR="00962781">
        <w:rPr>
          <w:rFonts w:ascii="Calibri" w:eastAsia="Calibri" w:hAnsi="Calibri" w:cs="Times New Roman"/>
          <w:sz w:val="22"/>
          <w:szCs w:val="22"/>
        </w:rPr>
        <w:t xml:space="preserve"> </w:t>
      </w:r>
      <w:r w:rsidR="0028433A">
        <w:rPr>
          <w:rFonts w:ascii="Calibri" w:eastAsia="Calibri" w:hAnsi="Calibri" w:cs="Times New Roman"/>
          <w:sz w:val="22"/>
          <w:szCs w:val="22"/>
        </w:rPr>
        <w:t>Progress has been slow in previous years</w:t>
      </w:r>
      <w:r w:rsidR="00EC00D8">
        <w:rPr>
          <w:rFonts w:ascii="Calibri" w:eastAsia="Calibri" w:hAnsi="Calibri" w:cs="Times New Roman"/>
          <w:sz w:val="22"/>
          <w:szCs w:val="22"/>
        </w:rPr>
        <w:t xml:space="preserve"> as different sites within the West End have different land owners and there are no specific site allocations. However, s</w:t>
      </w:r>
      <w:r w:rsidR="0079208D">
        <w:rPr>
          <w:rFonts w:ascii="Calibri" w:eastAsia="Calibri" w:hAnsi="Calibri" w:cs="Times New Roman"/>
          <w:sz w:val="22"/>
          <w:szCs w:val="22"/>
        </w:rPr>
        <w:t>ignificant progress has been made</w:t>
      </w:r>
      <w:r w:rsidR="00DD4D65">
        <w:rPr>
          <w:rFonts w:ascii="Calibri" w:eastAsia="Calibri" w:hAnsi="Calibri" w:cs="Times New Roman"/>
          <w:sz w:val="22"/>
          <w:szCs w:val="22"/>
        </w:rPr>
        <w:t xml:space="preserve"> on</w:t>
      </w:r>
      <w:r w:rsidR="0079208D">
        <w:rPr>
          <w:rFonts w:ascii="Calibri" w:eastAsia="Calibri" w:hAnsi="Calibri" w:cs="Times New Roman"/>
          <w:sz w:val="22"/>
          <w:szCs w:val="22"/>
        </w:rPr>
        <w:t xml:space="preserve"> some </w:t>
      </w:r>
      <w:r w:rsidR="00EC00D8">
        <w:rPr>
          <w:rFonts w:ascii="Calibri" w:eastAsia="Calibri" w:hAnsi="Calibri" w:cs="Times New Roman"/>
          <w:sz w:val="22"/>
          <w:szCs w:val="22"/>
        </w:rPr>
        <w:t>major</w:t>
      </w:r>
      <w:r w:rsidR="0079208D">
        <w:rPr>
          <w:rFonts w:ascii="Calibri" w:eastAsia="Calibri" w:hAnsi="Calibri" w:cs="Times New Roman"/>
          <w:sz w:val="22"/>
          <w:szCs w:val="22"/>
        </w:rPr>
        <w:t xml:space="preserve"> </w:t>
      </w:r>
      <w:r w:rsidR="00DD4D65">
        <w:rPr>
          <w:rFonts w:ascii="Calibri" w:eastAsia="Calibri" w:hAnsi="Calibri" w:cs="Times New Roman"/>
          <w:sz w:val="22"/>
          <w:szCs w:val="22"/>
        </w:rPr>
        <w:t>West End projects during the</w:t>
      </w:r>
      <w:r w:rsidR="0079208D">
        <w:rPr>
          <w:rFonts w:ascii="Calibri" w:eastAsia="Calibri" w:hAnsi="Calibri" w:cs="Times New Roman"/>
          <w:sz w:val="22"/>
          <w:szCs w:val="22"/>
        </w:rPr>
        <w:t xml:space="preserve"> 2013/14</w:t>
      </w:r>
      <w:r w:rsidR="00DD4D65">
        <w:rPr>
          <w:rFonts w:ascii="Calibri" w:eastAsia="Calibri" w:hAnsi="Calibri" w:cs="Times New Roman"/>
          <w:sz w:val="22"/>
          <w:szCs w:val="22"/>
        </w:rPr>
        <w:t xml:space="preserve"> monitoring period</w:t>
      </w:r>
      <w:r w:rsidR="00962781">
        <w:rPr>
          <w:rFonts w:ascii="Calibri" w:eastAsia="Calibri" w:hAnsi="Calibri" w:cs="Times New Roman"/>
          <w:sz w:val="22"/>
          <w:szCs w:val="22"/>
        </w:rPr>
        <w:t>:</w:t>
      </w:r>
    </w:p>
    <w:p w:rsidR="001C3CFF" w:rsidRPr="00962781" w:rsidRDefault="001C3CFF" w:rsidP="00962781">
      <w:pPr>
        <w:spacing w:after="200" w:line="276" w:lineRule="auto"/>
        <w:ind w:left="142"/>
        <w:jc w:val="both"/>
        <w:rPr>
          <w:rFonts w:ascii="Calibri" w:eastAsia="Calibri" w:hAnsi="Calibri" w:cs="Times New Roman"/>
          <w:b/>
          <w:sz w:val="22"/>
          <w:szCs w:val="22"/>
        </w:rPr>
      </w:pPr>
      <w:r w:rsidRPr="00962781">
        <w:rPr>
          <w:rFonts w:ascii="Calibri" w:eastAsia="Calibri" w:hAnsi="Calibri" w:cs="Times New Roman"/>
          <w:b/>
          <w:color w:val="632423" w:themeColor="accent2" w:themeShade="80"/>
          <w:sz w:val="22"/>
          <w:szCs w:val="22"/>
        </w:rPr>
        <w:t>Oxford Station</w:t>
      </w:r>
      <w:r w:rsidRPr="00962781">
        <w:rPr>
          <w:rFonts w:ascii="Calibri" w:eastAsia="Calibri" w:hAnsi="Calibri" w:cs="Times New Roman"/>
          <w:b/>
          <w:sz w:val="22"/>
          <w:szCs w:val="22"/>
        </w:rPr>
        <w:t xml:space="preserve"> </w:t>
      </w:r>
    </w:p>
    <w:p w:rsidR="00962781" w:rsidRDefault="00E5287B"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Oxford Station is a gateway to the </w:t>
      </w:r>
      <w:r w:rsidR="003161C9">
        <w:rPr>
          <w:rFonts w:ascii="Calibri" w:eastAsia="Calibri" w:hAnsi="Calibri" w:cs="Times New Roman"/>
          <w:sz w:val="22"/>
          <w:szCs w:val="22"/>
        </w:rPr>
        <w:t>city</w:t>
      </w:r>
      <w:r>
        <w:rPr>
          <w:rFonts w:ascii="Calibri" w:eastAsia="Calibri" w:hAnsi="Calibri" w:cs="Times New Roman"/>
          <w:sz w:val="22"/>
          <w:szCs w:val="22"/>
        </w:rPr>
        <w:t xml:space="preserve">, but is in need of significant upgrading in terms of operational performance and passenger provision. </w:t>
      </w:r>
      <w:r w:rsidR="001A036B">
        <w:rPr>
          <w:rFonts w:ascii="Calibri" w:eastAsia="Calibri" w:hAnsi="Calibri" w:cs="Times New Roman"/>
          <w:sz w:val="22"/>
          <w:szCs w:val="22"/>
        </w:rPr>
        <w:t xml:space="preserve">A tripartite agreement has been formed between Oxford City Council, Oxfordshire County Council and Network Rail for the redevelopment of Oxford Station. During the monitoring year consultants were commissioned to help develop a </w:t>
      </w:r>
      <w:proofErr w:type="spellStart"/>
      <w:r>
        <w:rPr>
          <w:rFonts w:ascii="Calibri" w:eastAsia="Calibri" w:hAnsi="Calibri" w:cs="Times New Roman"/>
          <w:sz w:val="22"/>
          <w:szCs w:val="22"/>
        </w:rPr>
        <w:t>master</w:t>
      </w:r>
      <w:r w:rsidR="001A036B">
        <w:rPr>
          <w:rFonts w:ascii="Calibri" w:eastAsia="Calibri" w:hAnsi="Calibri" w:cs="Times New Roman"/>
          <w:sz w:val="22"/>
          <w:szCs w:val="22"/>
        </w:rPr>
        <w:t>plan</w:t>
      </w:r>
      <w:proofErr w:type="spellEnd"/>
      <w:r w:rsidR="001A036B">
        <w:rPr>
          <w:rFonts w:ascii="Calibri" w:eastAsia="Calibri" w:hAnsi="Calibri" w:cs="Times New Roman"/>
          <w:sz w:val="22"/>
          <w:szCs w:val="22"/>
        </w:rPr>
        <w:t xml:space="preserve"> for the station area and the project is expected to continue to ma</w:t>
      </w:r>
      <w:r>
        <w:rPr>
          <w:rFonts w:ascii="Calibri" w:eastAsia="Calibri" w:hAnsi="Calibri" w:cs="Times New Roman"/>
          <w:sz w:val="22"/>
          <w:szCs w:val="22"/>
        </w:rPr>
        <w:t>ke progress during</w:t>
      </w:r>
      <w:r w:rsidR="001A036B">
        <w:rPr>
          <w:rFonts w:ascii="Calibri" w:eastAsia="Calibri" w:hAnsi="Calibri" w:cs="Times New Roman"/>
          <w:sz w:val="22"/>
          <w:szCs w:val="22"/>
        </w:rPr>
        <w:t xml:space="preserve"> 2014/15</w:t>
      </w:r>
      <w:r>
        <w:rPr>
          <w:rFonts w:ascii="Calibri" w:eastAsia="Calibri" w:hAnsi="Calibri" w:cs="Times New Roman"/>
          <w:sz w:val="22"/>
          <w:szCs w:val="22"/>
        </w:rPr>
        <w:t xml:space="preserve"> with a public exhibition, architectural competition and </w:t>
      </w:r>
      <w:r w:rsidR="006D1D91">
        <w:rPr>
          <w:rFonts w:ascii="Calibri" w:eastAsia="Calibri" w:hAnsi="Calibri" w:cs="Times New Roman"/>
          <w:sz w:val="22"/>
          <w:szCs w:val="22"/>
        </w:rPr>
        <w:t>establishment</w:t>
      </w:r>
      <w:r>
        <w:rPr>
          <w:rFonts w:ascii="Calibri" w:eastAsia="Calibri" w:hAnsi="Calibri" w:cs="Times New Roman"/>
          <w:sz w:val="22"/>
          <w:szCs w:val="22"/>
        </w:rPr>
        <w:t xml:space="preserve"> of funding.</w:t>
      </w:r>
    </w:p>
    <w:p w:rsidR="006D1D91" w:rsidRPr="00962781" w:rsidRDefault="006D1D91" w:rsidP="006D1D91">
      <w:pPr>
        <w:spacing w:after="200" w:line="276" w:lineRule="auto"/>
        <w:ind w:left="142"/>
        <w:jc w:val="both"/>
        <w:rPr>
          <w:rFonts w:ascii="Calibri" w:eastAsia="Calibri" w:hAnsi="Calibri" w:cs="Times New Roman"/>
          <w:b/>
          <w:color w:val="632423" w:themeColor="accent2" w:themeShade="80"/>
          <w:sz w:val="22"/>
          <w:szCs w:val="22"/>
        </w:rPr>
      </w:pPr>
      <w:proofErr w:type="spellStart"/>
      <w:r w:rsidRPr="00962781">
        <w:rPr>
          <w:rFonts w:ascii="Calibri" w:eastAsia="Calibri" w:hAnsi="Calibri" w:cs="Times New Roman"/>
          <w:b/>
          <w:color w:val="632423" w:themeColor="accent2" w:themeShade="80"/>
          <w:sz w:val="22"/>
          <w:szCs w:val="22"/>
        </w:rPr>
        <w:t>Frideswide</w:t>
      </w:r>
      <w:proofErr w:type="spellEnd"/>
      <w:r w:rsidRPr="00962781">
        <w:rPr>
          <w:rFonts w:ascii="Calibri" w:eastAsia="Calibri" w:hAnsi="Calibri" w:cs="Times New Roman"/>
          <w:b/>
          <w:color w:val="632423" w:themeColor="accent2" w:themeShade="80"/>
          <w:sz w:val="22"/>
          <w:szCs w:val="22"/>
        </w:rPr>
        <w:t xml:space="preserve"> Square</w:t>
      </w:r>
    </w:p>
    <w:p w:rsidR="006D1D91" w:rsidRPr="006D1D91" w:rsidRDefault="006D1D91" w:rsidP="004335B5">
      <w:pPr>
        <w:pStyle w:val="ListParagraph"/>
        <w:numPr>
          <w:ilvl w:val="0"/>
          <w:numId w:val="6"/>
        </w:numPr>
        <w:spacing w:after="200" w:line="276" w:lineRule="auto"/>
        <w:jc w:val="both"/>
        <w:rPr>
          <w:rFonts w:ascii="Calibri" w:eastAsia="Calibri" w:hAnsi="Calibri" w:cs="Times New Roman"/>
          <w:sz w:val="22"/>
          <w:szCs w:val="22"/>
        </w:rPr>
      </w:pPr>
      <w:proofErr w:type="spellStart"/>
      <w:r>
        <w:rPr>
          <w:rFonts w:ascii="Calibri" w:eastAsia="Calibri" w:hAnsi="Calibri" w:cs="Times New Roman"/>
          <w:sz w:val="22"/>
          <w:szCs w:val="22"/>
        </w:rPr>
        <w:t>Frideswide</w:t>
      </w:r>
      <w:proofErr w:type="spellEnd"/>
      <w:r>
        <w:rPr>
          <w:rFonts w:ascii="Calibri" w:eastAsia="Calibri" w:hAnsi="Calibri" w:cs="Times New Roman"/>
          <w:sz w:val="22"/>
          <w:szCs w:val="22"/>
        </w:rPr>
        <w:t xml:space="preserve"> Square is one of Oxford’s most important public spaces, yet it is dominated by traffic and highway infrastructure, making it difficult for pedestrians and cyclists to negotiate. Detailed plans for improvements to </w:t>
      </w:r>
      <w:proofErr w:type="spellStart"/>
      <w:r>
        <w:rPr>
          <w:rFonts w:ascii="Calibri" w:eastAsia="Calibri" w:hAnsi="Calibri" w:cs="Times New Roman"/>
          <w:sz w:val="22"/>
          <w:szCs w:val="22"/>
        </w:rPr>
        <w:t>Frideswide</w:t>
      </w:r>
      <w:proofErr w:type="spellEnd"/>
      <w:r>
        <w:rPr>
          <w:rFonts w:ascii="Calibri" w:eastAsia="Calibri" w:hAnsi="Calibri" w:cs="Times New Roman"/>
          <w:sz w:val="22"/>
          <w:szCs w:val="22"/>
        </w:rPr>
        <w:t xml:space="preserve"> Square have now been confirmed and phase 1 is due to be implemented from September to December 2014. Phase 2 will then follow from February to December 2015. The plans involve</w:t>
      </w:r>
      <w:r w:rsidRPr="006D1D91">
        <w:rPr>
          <w:rFonts w:ascii="Calibri" w:eastAsia="Calibri" w:hAnsi="Calibri" w:cs="Times New Roman"/>
          <w:sz w:val="22"/>
          <w:szCs w:val="22"/>
        </w:rPr>
        <w:t xml:space="preserve"> remodelling the road by removing the traffic lights, significantly reducing the amount of road space and providi</w:t>
      </w:r>
      <w:r>
        <w:rPr>
          <w:rFonts w:ascii="Calibri" w:eastAsia="Calibri" w:hAnsi="Calibri" w:cs="Times New Roman"/>
          <w:sz w:val="22"/>
          <w:szCs w:val="22"/>
        </w:rPr>
        <w:t>ng an enhanced public space.</w:t>
      </w:r>
    </w:p>
    <w:p w:rsidR="00962781" w:rsidRPr="00962781" w:rsidRDefault="00962781" w:rsidP="00962781">
      <w:pPr>
        <w:spacing w:after="200" w:line="276" w:lineRule="auto"/>
        <w:jc w:val="both"/>
        <w:rPr>
          <w:rFonts w:ascii="Calibri" w:eastAsia="Calibri" w:hAnsi="Calibri" w:cs="Times New Roman"/>
          <w:b/>
          <w:color w:val="632423" w:themeColor="accent2" w:themeShade="80"/>
          <w:sz w:val="22"/>
          <w:szCs w:val="22"/>
        </w:rPr>
      </w:pPr>
      <w:proofErr w:type="spellStart"/>
      <w:r w:rsidRPr="00962781">
        <w:rPr>
          <w:rFonts w:ascii="Calibri" w:eastAsia="Calibri" w:hAnsi="Calibri" w:cs="Times New Roman"/>
          <w:b/>
          <w:color w:val="632423" w:themeColor="accent2" w:themeShade="80"/>
          <w:sz w:val="22"/>
          <w:szCs w:val="22"/>
        </w:rPr>
        <w:t>Oxpens</w:t>
      </w:r>
      <w:proofErr w:type="spellEnd"/>
    </w:p>
    <w:p w:rsidR="00962781" w:rsidRPr="006F129A" w:rsidRDefault="006F129A"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The </w:t>
      </w:r>
      <w:proofErr w:type="spellStart"/>
      <w:r w:rsidR="001C3CFF">
        <w:rPr>
          <w:rFonts w:ascii="Calibri" w:eastAsia="Calibri" w:hAnsi="Calibri" w:cs="Times New Roman"/>
          <w:sz w:val="22"/>
          <w:szCs w:val="22"/>
        </w:rPr>
        <w:t>Oxpens</w:t>
      </w:r>
      <w:proofErr w:type="spellEnd"/>
      <w:r>
        <w:rPr>
          <w:rFonts w:ascii="Calibri" w:eastAsia="Calibri" w:hAnsi="Calibri" w:cs="Times New Roman"/>
          <w:sz w:val="22"/>
          <w:szCs w:val="22"/>
        </w:rPr>
        <w:t xml:space="preserve"> site is one of the </w:t>
      </w:r>
      <w:r w:rsidR="001A036B">
        <w:rPr>
          <w:rFonts w:ascii="Calibri" w:eastAsia="Calibri" w:hAnsi="Calibri" w:cs="Times New Roman"/>
          <w:sz w:val="22"/>
          <w:szCs w:val="22"/>
        </w:rPr>
        <w:t xml:space="preserve">most </w:t>
      </w:r>
      <w:r>
        <w:rPr>
          <w:rFonts w:ascii="Calibri" w:eastAsia="Calibri" w:hAnsi="Calibri" w:cs="Times New Roman"/>
          <w:sz w:val="22"/>
          <w:szCs w:val="22"/>
        </w:rPr>
        <w:t>significant develop</w:t>
      </w:r>
      <w:r w:rsidR="001A036B">
        <w:rPr>
          <w:rFonts w:ascii="Calibri" w:eastAsia="Calibri" w:hAnsi="Calibri" w:cs="Times New Roman"/>
          <w:sz w:val="22"/>
          <w:szCs w:val="22"/>
        </w:rPr>
        <w:t>ment opportunities within the</w:t>
      </w:r>
      <w:r>
        <w:rPr>
          <w:rFonts w:ascii="Calibri" w:eastAsia="Calibri" w:hAnsi="Calibri" w:cs="Times New Roman"/>
          <w:sz w:val="22"/>
          <w:szCs w:val="22"/>
        </w:rPr>
        <w:t xml:space="preserve"> </w:t>
      </w:r>
      <w:r w:rsidR="003161C9">
        <w:rPr>
          <w:rFonts w:ascii="Calibri" w:eastAsia="Calibri" w:hAnsi="Calibri" w:cs="Times New Roman"/>
          <w:sz w:val="22"/>
          <w:szCs w:val="22"/>
        </w:rPr>
        <w:t>city centre</w:t>
      </w:r>
      <w:r>
        <w:rPr>
          <w:rFonts w:ascii="Calibri" w:eastAsia="Calibri" w:hAnsi="Calibri" w:cs="Times New Roman"/>
          <w:sz w:val="22"/>
          <w:szCs w:val="22"/>
        </w:rPr>
        <w:t>.</w:t>
      </w:r>
      <w:r w:rsidRPr="006F129A">
        <w:rPr>
          <w:rFonts w:ascii="Calibri" w:eastAsia="Calibri" w:hAnsi="Calibri" w:cs="Times New Roman"/>
          <w:sz w:val="22"/>
          <w:szCs w:val="22"/>
        </w:rPr>
        <w:t xml:space="preserve"> The </w:t>
      </w:r>
      <w:proofErr w:type="spellStart"/>
      <w:r w:rsidRPr="006F129A">
        <w:rPr>
          <w:rFonts w:ascii="Calibri" w:eastAsia="Calibri" w:hAnsi="Calibri" w:cs="Times New Roman"/>
          <w:sz w:val="22"/>
          <w:szCs w:val="22"/>
        </w:rPr>
        <w:t>Oxpens</w:t>
      </w:r>
      <w:proofErr w:type="spellEnd"/>
      <w:r w:rsidRPr="006F129A">
        <w:rPr>
          <w:rFonts w:ascii="Calibri" w:eastAsia="Calibri" w:hAnsi="Calibri" w:cs="Times New Roman"/>
          <w:sz w:val="22"/>
          <w:szCs w:val="22"/>
        </w:rPr>
        <w:t xml:space="preserve"> Master Plan SPD</w:t>
      </w:r>
      <w:r w:rsidR="00950135" w:rsidRPr="006F129A">
        <w:rPr>
          <w:rFonts w:ascii="Calibri" w:eastAsia="Calibri" w:hAnsi="Calibri" w:cs="Times New Roman"/>
          <w:sz w:val="22"/>
          <w:szCs w:val="22"/>
        </w:rPr>
        <w:t xml:space="preserve"> </w:t>
      </w:r>
      <w:r w:rsidRPr="006F129A">
        <w:rPr>
          <w:rFonts w:ascii="Calibri" w:eastAsia="Calibri" w:hAnsi="Calibri" w:cs="Times New Roman"/>
          <w:sz w:val="22"/>
          <w:szCs w:val="22"/>
        </w:rPr>
        <w:t xml:space="preserve">was adopted in </w:t>
      </w:r>
      <w:r w:rsidR="00950135" w:rsidRPr="006F129A">
        <w:rPr>
          <w:rFonts w:ascii="Calibri" w:eastAsia="Calibri" w:hAnsi="Calibri" w:cs="Times New Roman"/>
          <w:sz w:val="22"/>
          <w:szCs w:val="22"/>
        </w:rPr>
        <w:t>November 2013</w:t>
      </w:r>
      <w:r w:rsidRPr="006F129A">
        <w:rPr>
          <w:rFonts w:ascii="Calibri" w:eastAsia="Calibri" w:hAnsi="Calibri" w:cs="Times New Roman"/>
          <w:sz w:val="22"/>
          <w:szCs w:val="22"/>
        </w:rPr>
        <w:t xml:space="preserve"> </w:t>
      </w:r>
      <w:r>
        <w:rPr>
          <w:rFonts w:ascii="Calibri" w:eastAsia="Calibri" w:hAnsi="Calibri" w:cs="Times New Roman"/>
          <w:sz w:val="22"/>
          <w:szCs w:val="22"/>
        </w:rPr>
        <w:t xml:space="preserve">and </w:t>
      </w:r>
      <w:r w:rsidRPr="006F129A">
        <w:rPr>
          <w:rFonts w:ascii="Calibri" w:eastAsia="Calibri" w:hAnsi="Calibri" w:cs="Times New Roman"/>
          <w:sz w:val="22"/>
          <w:szCs w:val="22"/>
        </w:rPr>
        <w:t>sets out a framework for the future development of the site</w:t>
      </w:r>
      <w:r>
        <w:rPr>
          <w:rFonts w:ascii="Calibri" w:eastAsia="Calibri" w:hAnsi="Calibri" w:cs="Times New Roman"/>
          <w:sz w:val="22"/>
          <w:szCs w:val="22"/>
        </w:rPr>
        <w:t xml:space="preserve">. The SPD aims to encourage high quality development that realises the site’s </w:t>
      </w:r>
      <w:r w:rsidRPr="006F129A">
        <w:rPr>
          <w:rFonts w:ascii="Calibri" w:eastAsia="Calibri" w:hAnsi="Calibri" w:cs="Times New Roman"/>
          <w:sz w:val="22"/>
          <w:szCs w:val="22"/>
        </w:rPr>
        <w:t>potential to</w:t>
      </w:r>
      <w:r>
        <w:rPr>
          <w:rFonts w:ascii="Calibri" w:eastAsia="Calibri" w:hAnsi="Calibri" w:cs="Times New Roman"/>
          <w:sz w:val="22"/>
          <w:szCs w:val="22"/>
        </w:rPr>
        <w:t xml:space="preserve"> </w:t>
      </w:r>
      <w:r w:rsidRPr="006F129A">
        <w:rPr>
          <w:rFonts w:ascii="Calibri" w:eastAsia="Calibri" w:hAnsi="Calibri" w:cs="Times New Roman"/>
          <w:sz w:val="22"/>
          <w:szCs w:val="22"/>
        </w:rPr>
        <w:t xml:space="preserve">make a valuable contribution to the life and economy of the </w:t>
      </w:r>
      <w:r w:rsidR="003161C9" w:rsidRPr="006F129A">
        <w:rPr>
          <w:rFonts w:ascii="Calibri" w:eastAsia="Calibri" w:hAnsi="Calibri" w:cs="Times New Roman"/>
          <w:sz w:val="22"/>
          <w:szCs w:val="22"/>
        </w:rPr>
        <w:t>city</w:t>
      </w:r>
      <w:r w:rsidRPr="006F129A">
        <w:rPr>
          <w:rFonts w:ascii="Calibri" w:eastAsia="Calibri" w:hAnsi="Calibri" w:cs="Times New Roman"/>
          <w:sz w:val="22"/>
          <w:szCs w:val="22"/>
        </w:rPr>
        <w:t xml:space="preserve"> through </w:t>
      </w:r>
      <w:r>
        <w:rPr>
          <w:rFonts w:ascii="Calibri" w:eastAsia="Calibri" w:hAnsi="Calibri" w:cs="Times New Roman"/>
          <w:sz w:val="22"/>
          <w:szCs w:val="22"/>
        </w:rPr>
        <w:t xml:space="preserve">the delivery of new housing (for </w:t>
      </w:r>
      <w:r w:rsidRPr="006F129A">
        <w:rPr>
          <w:rFonts w:ascii="Calibri" w:eastAsia="Calibri" w:hAnsi="Calibri" w:cs="Times New Roman"/>
          <w:sz w:val="22"/>
          <w:szCs w:val="22"/>
        </w:rPr>
        <w:t>market sale and affordable housing), flexible office space, a hotel, local facilities and public open space.</w:t>
      </w:r>
    </w:p>
    <w:p w:rsidR="00962781" w:rsidRPr="00962781" w:rsidRDefault="00962781" w:rsidP="00962781">
      <w:pPr>
        <w:rPr>
          <w:rFonts w:ascii="Calibri" w:eastAsia="Calibri" w:hAnsi="Calibri" w:cs="Times New Roman"/>
          <w:b/>
          <w:color w:val="632423" w:themeColor="accent2" w:themeShade="80"/>
          <w:sz w:val="22"/>
          <w:szCs w:val="22"/>
        </w:rPr>
      </w:pPr>
      <w:r w:rsidRPr="00962781">
        <w:rPr>
          <w:rFonts w:ascii="Calibri" w:eastAsia="Calibri" w:hAnsi="Calibri" w:cs="Times New Roman"/>
          <w:b/>
          <w:color w:val="632423" w:themeColor="accent2" w:themeShade="80"/>
          <w:sz w:val="22"/>
          <w:szCs w:val="22"/>
        </w:rPr>
        <w:t xml:space="preserve"> Westgate </w:t>
      </w:r>
    </w:p>
    <w:p w:rsidR="00962781" w:rsidRPr="00962781" w:rsidRDefault="00962781" w:rsidP="00962781">
      <w:pPr>
        <w:rPr>
          <w:rFonts w:ascii="Calibri" w:eastAsia="Calibri" w:hAnsi="Calibri" w:cs="Times New Roman"/>
          <w:b/>
          <w:sz w:val="22"/>
          <w:szCs w:val="22"/>
        </w:rPr>
      </w:pPr>
    </w:p>
    <w:p w:rsidR="004F4073" w:rsidRPr="00CA4B66" w:rsidRDefault="00F706E1"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An outline application was submitted in September 2013 for the redevelopment of the Westgate Centre (reference 13/02557/OUT). This was considered by the West Area Planning Committee in March 2014 who resolved to </w:t>
      </w:r>
      <w:r w:rsidR="00962781">
        <w:rPr>
          <w:rFonts w:ascii="Calibri" w:eastAsia="Calibri" w:hAnsi="Calibri" w:cs="Times New Roman"/>
          <w:sz w:val="22"/>
          <w:szCs w:val="22"/>
        </w:rPr>
        <w:t xml:space="preserve">support the application. If the application is not </w:t>
      </w:r>
      <w:r w:rsidR="00962781" w:rsidRPr="00962781">
        <w:rPr>
          <w:rFonts w:ascii="Calibri" w:eastAsia="Calibri" w:hAnsi="Calibri" w:cs="Times New Roman"/>
          <w:sz w:val="22"/>
          <w:szCs w:val="22"/>
        </w:rPr>
        <w:lastRenderedPageBreak/>
        <w:t xml:space="preserve">recovered by the Secretary of </w:t>
      </w:r>
      <w:r w:rsidR="00962781">
        <w:rPr>
          <w:rFonts w:ascii="Calibri" w:eastAsia="Calibri" w:hAnsi="Calibri" w:cs="Times New Roman"/>
          <w:sz w:val="22"/>
          <w:szCs w:val="22"/>
        </w:rPr>
        <w:t xml:space="preserve">State for his own determination, officers can issue the decision notice upon the completion of a suitable </w:t>
      </w:r>
      <w:r w:rsidR="00962781" w:rsidRPr="00962781">
        <w:rPr>
          <w:rFonts w:ascii="Calibri" w:eastAsia="Calibri" w:hAnsi="Calibri" w:cs="Times New Roman"/>
          <w:sz w:val="22"/>
          <w:szCs w:val="22"/>
        </w:rPr>
        <w:t>legal agreement.</w:t>
      </w:r>
      <w:r w:rsidR="00962781">
        <w:rPr>
          <w:rFonts w:ascii="Calibri" w:eastAsia="Calibri" w:hAnsi="Calibri" w:cs="Times New Roman"/>
          <w:sz w:val="22"/>
          <w:szCs w:val="22"/>
        </w:rPr>
        <w:t xml:space="preserve"> A reserved matters application is expected to be received by the Council in </w:t>
      </w:r>
      <w:r w:rsidR="00612E7F">
        <w:rPr>
          <w:rFonts w:ascii="Calibri" w:eastAsia="Calibri" w:hAnsi="Calibri" w:cs="Times New Roman"/>
          <w:sz w:val="22"/>
          <w:szCs w:val="22"/>
        </w:rPr>
        <w:t>September</w:t>
      </w:r>
      <w:r w:rsidR="005026D6">
        <w:rPr>
          <w:rFonts w:ascii="Calibri" w:eastAsia="Calibri" w:hAnsi="Calibri" w:cs="Times New Roman"/>
          <w:sz w:val="22"/>
          <w:szCs w:val="22"/>
        </w:rPr>
        <w:t>/October</w:t>
      </w:r>
      <w:r w:rsidR="00962781">
        <w:rPr>
          <w:rFonts w:ascii="Calibri" w:eastAsia="Calibri" w:hAnsi="Calibri" w:cs="Times New Roman"/>
          <w:sz w:val="22"/>
          <w:szCs w:val="22"/>
        </w:rPr>
        <w:t xml:space="preserve"> 2014.</w:t>
      </w:r>
    </w:p>
    <w:p w:rsidR="00C81C3E" w:rsidRDefault="006D1D91" w:rsidP="00A31762">
      <w:pPr>
        <w:rPr>
          <w:color w:val="632423" w:themeColor="accent2" w:themeShade="80"/>
          <w:sz w:val="22"/>
          <w:szCs w:val="22"/>
        </w:rPr>
      </w:pPr>
      <w:r w:rsidRPr="00483A60">
        <w:rPr>
          <w:rFonts w:ascii="Calibri" w:eastAsia="Calibri" w:hAnsi="Calibri" w:cs="Calibri"/>
          <w:b/>
          <w:noProof/>
          <w:color w:val="000000"/>
          <w:sz w:val="32"/>
          <w:szCs w:val="32"/>
          <w:lang w:eastAsia="en-GB"/>
        </w:rPr>
        <mc:AlternateContent>
          <mc:Choice Requires="wps">
            <w:drawing>
              <wp:anchor distT="0" distB="0" distL="114300" distR="114300" simplePos="0" relativeHeight="251758592" behindDoc="0" locked="0" layoutInCell="1" allowOverlap="1" wp14:anchorId="7777B80E" wp14:editId="46DCE513">
                <wp:simplePos x="0" y="0"/>
                <wp:positionH relativeFrom="column">
                  <wp:posOffset>3416935</wp:posOffset>
                </wp:positionH>
                <wp:positionV relativeFrom="paragraph">
                  <wp:posOffset>-1350010</wp:posOffset>
                </wp:positionV>
                <wp:extent cx="2427605" cy="3524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483A60">
                            <w:pPr>
                              <w:jc w:val="right"/>
                              <w:rPr>
                                <w:b/>
                                <w:color w:val="632423" w:themeColor="accent2" w:themeShade="80"/>
                              </w:rPr>
                            </w:pPr>
                            <w:r w:rsidRPr="00280EB5">
                              <w:rPr>
                                <w:b/>
                                <w:color w:val="632423" w:themeColor="accent2" w:themeShade="80"/>
                              </w:rPr>
                              <w:t>Strong, Active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67" type="#_x0000_t202" style="position:absolute;margin-left:269.05pt;margin-top:-106.3pt;width:191.15pt;height:27.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" fillcolor="window" stroked="f" strokeweight=".5pt">
                <v:textbox>
                  <w:txbxContent>
                    <w:p w:rsidR="000D3CFF" w:rsidRPr="00280EB5" w:rsidRDefault="000D3CFF" w:rsidP="00483A60">
                      <w:pPr>
                        <w:jc w:val="right"/>
                        <w:rPr>
                          <w:b/>
                          <w:color w:val="632423" w:themeColor="accent2" w:themeShade="80"/>
                        </w:rPr>
                      </w:pPr>
                      <w:r w:rsidRPr="00280EB5">
                        <w:rPr>
                          <w:b/>
                          <w:color w:val="632423" w:themeColor="accent2" w:themeShade="80"/>
                        </w:rPr>
                        <w:t>Strong, Active Communities</w:t>
                      </w:r>
                    </w:p>
                  </w:txbxContent>
                </v:textbox>
              </v:shape>
            </w:pict>
          </mc:Fallback>
        </mc:AlternateContent>
      </w:r>
    </w:p>
    <w:p w:rsidR="00C81C3E" w:rsidRDefault="00C81C3E" w:rsidP="00A31762">
      <w:pPr>
        <w:rPr>
          <w:color w:val="632423" w:themeColor="accent2" w:themeShade="80"/>
          <w:sz w:val="22"/>
          <w:szCs w:val="22"/>
        </w:rPr>
      </w:pPr>
    </w:p>
    <w:p w:rsidR="002F5C68" w:rsidRPr="00BA5884" w:rsidRDefault="002F5C68" w:rsidP="002F5C68">
      <w:pPr>
        <w:autoSpaceDE w:val="0"/>
        <w:autoSpaceDN w:val="0"/>
        <w:adjustRightInd w:val="0"/>
        <w:jc w:val="both"/>
        <w:rPr>
          <w:rFonts w:ascii="Calibri" w:eastAsia="Calibri" w:hAnsi="Calibri" w:cs="Calibri"/>
          <w:color w:val="632423" w:themeColor="accent2" w:themeShade="80"/>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02272" behindDoc="1" locked="0" layoutInCell="1" allowOverlap="1" wp14:anchorId="234CEAA3" wp14:editId="58D235CC">
                <wp:simplePos x="0" y="0"/>
                <wp:positionH relativeFrom="column">
                  <wp:posOffset>-85725</wp:posOffset>
                </wp:positionH>
                <wp:positionV relativeFrom="paragraph">
                  <wp:posOffset>-26670</wp:posOffset>
                </wp:positionV>
                <wp:extent cx="5776595" cy="1457325"/>
                <wp:effectExtent l="0" t="0" r="0" b="9525"/>
                <wp:wrapNone/>
                <wp:docPr id="135" name="Rectangle 135"/>
                <wp:cNvGraphicFramePr/>
                <a:graphic xmlns:a="http://schemas.openxmlformats.org/drawingml/2006/main">
                  <a:graphicData uri="http://schemas.microsoft.com/office/word/2010/wordprocessingShape">
                    <wps:wsp>
                      <wps:cNvSpPr/>
                      <wps:spPr>
                        <a:xfrm>
                          <a:off x="0" y="0"/>
                          <a:ext cx="5776595" cy="1457325"/>
                        </a:xfrm>
                        <a:prstGeom prst="rect">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6.75pt;margin-top:-2.1pt;width:454.85pt;height:11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" fillcolor="#f2dcdb" stroked="f" strokeweight="2pt"/>
            </w:pict>
          </mc:Fallback>
        </mc:AlternateContent>
      </w:r>
      <w:r w:rsidRPr="00BA5884">
        <w:rPr>
          <w:rFonts w:ascii="Calibri" w:eastAsia="Calibri" w:hAnsi="Calibri" w:cs="Calibri"/>
          <w:b/>
          <w:color w:val="632423" w:themeColor="accent2" w:themeShade="80"/>
        </w:rPr>
        <w:t xml:space="preserve">Indicator </w:t>
      </w:r>
      <w:r>
        <w:rPr>
          <w:rFonts w:ascii="Calibri" w:eastAsia="Calibri" w:hAnsi="Calibri" w:cs="Calibri"/>
          <w:b/>
          <w:color w:val="632423" w:themeColor="accent2" w:themeShade="80"/>
        </w:rPr>
        <w:t>2</w:t>
      </w:r>
      <w:r w:rsidRPr="00BA5884">
        <w:rPr>
          <w:rFonts w:ascii="Calibri" w:eastAsia="Calibri" w:hAnsi="Calibri" w:cs="Calibri"/>
          <w:b/>
          <w:color w:val="632423" w:themeColor="accent2" w:themeShade="80"/>
        </w:rPr>
        <w:t>1</w:t>
      </w:r>
      <w:r>
        <w:rPr>
          <w:rFonts w:ascii="Calibri" w:eastAsia="Calibri" w:hAnsi="Calibri" w:cs="Calibri"/>
          <w:b/>
          <w:color w:val="632423" w:themeColor="accent2" w:themeShade="80"/>
        </w:rPr>
        <w:t>:</w:t>
      </w:r>
      <w:r w:rsidRPr="00BA5884">
        <w:rPr>
          <w:rFonts w:ascii="Calibri" w:eastAsia="Calibri" w:hAnsi="Calibri" w:cs="Calibri"/>
          <w:b/>
          <w:color w:val="632423" w:themeColor="accent2" w:themeShade="80"/>
        </w:rPr>
        <w:t xml:space="preserve"> </w:t>
      </w:r>
      <w:r>
        <w:rPr>
          <w:rFonts w:ascii="Calibri" w:eastAsia="Calibri" w:hAnsi="Calibri" w:cs="Calibri"/>
          <w:b/>
          <w:color w:val="632423" w:themeColor="accent2" w:themeShade="80"/>
        </w:rPr>
        <w:t>BARTON AREA ACTION PLAN</w:t>
      </w:r>
    </w:p>
    <w:p w:rsidR="002F5C68" w:rsidRPr="00BA5884" w:rsidRDefault="002F5C68" w:rsidP="002F5C68">
      <w:pPr>
        <w:autoSpaceDE w:val="0"/>
        <w:autoSpaceDN w:val="0"/>
        <w:adjustRightInd w:val="0"/>
        <w:jc w:val="both"/>
        <w:rPr>
          <w:rFonts w:ascii="Calibri" w:eastAsia="Calibri" w:hAnsi="Calibri" w:cs="Calibri"/>
          <w:b/>
          <w:color w:val="632423" w:themeColor="accent2" w:themeShade="80"/>
          <w:sz w:val="10"/>
          <w:szCs w:val="22"/>
        </w:rPr>
      </w:pPr>
    </w:p>
    <w:p w:rsidR="002F5C68" w:rsidRDefault="002F5C68" w:rsidP="002F5C68">
      <w:pPr>
        <w:autoSpaceDE w:val="0"/>
        <w:autoSpaceDN w:val="0"/>
        <w:adjustRightInd w:val="0"/>
        <w:jc w:val="both"/>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 xml:space="preserve">Target: </w:t>
      </w:r>
      <w:r w:rsidRPr="00EC00D8">
        <w:rPr>
          <w:rFonts w:ascii="Calibri" w:eastAsia="Calibri" w:hAnsi="Calibri" w:cs="Calibri"/>
          <w:b/>
          <w:i/>
          <w:color w:val="632423" w:themeColor="accent2" w:themeShade="80"/>
          <w:sz w:val="22"/>
          <w:szCs w:val="22"/>
        </w:rPr>
        <w:t>The A</w:t>
      </w:r>
      <w:r w:rsidR="00B02219" w:rsidRPr="00EC00D8">
        <w:rPr>
          <w:rFonts w:ascii="Calibri" w:eastAsia="Calibri" w:hAnsi="Calibri" w:cs="Calibri"/>
          <w:b/>
          <w:i/>
          <w:color w:val="632423" w:themeColor="accent2" w:themeShade="80"/>
          <w:sz w:val="22"/>
          <w:szCs w:val="22"/>
        </w:rPr>
        <w:t xml:space="preserve">rea </w:t>
      </w:r>
      <w:r w:rsidRPr="00EC00D8">
        <w:rPr>
          <w:rFonts w:ascii="Calibri" w:eastAsia="Calibri" w:hAnsi="Calibri" w:cs="Calibri"/>
          <w:b/>
          <w:i/>
          <w:color w:val="632423" w:themeColor="accent2" w:themeShade="80"/>
          <w:sz w:val="22"/>
          <w:szCs w:val="22"/>
        </w:rPr>
        <w:t>A</w:t>
      </w:r>
      <w:r w:rsidR="00B02219" w:rsidRPr="00EC00D8">
        <w:rPr>
          <w:rFonts w:ascii="Calibri" w:eastAsia="Calibri" w:hAnsi="Calibri" w:cs="Calibri"/>
          <w:b/>
          <w:i/>
          <w:color w:val="632423" w:themeColor="accent2" w:themeShade="80"/>
          <w:sz w:val="22"/>
          <w:szCs w:val="22"/>
        </w:rPr>
        <w:t>ction Plan</w:t>
      </w:r>
      <w:r w:rsidRPr="00EC00D8">
        <w:rPr>
          <w:rFonts w:ascii="Calibri" w:eastAsia="Calibri" w:hAnsi="Calibri" w:cs="Calibri"/>
          <w:b/>
          <w:i/>
          <w:color w:val="632423" w:themeColor="accent2" w:themeShade="80"/>
          <w:sz w:val="22"/>
          <w:szCs w:val="22"/>
        </w:rPr>
        <w:t xml:space="preserve"> sets targets in order to monitor progress</w:t>
      </w:r>
    </w:p>
    <w:p w:rsidR="002F5C68" w:rsidRPr="00BA5884" w:rsidRDefault="002F5C68" w:rsidP="002F5C68">
      <w:pPr>
        <w:autoSpaceDE w:val="0"/>
        <w:autoSpaceDN w:val="0"/>
        <w:adjustRightInd w:val="0"/>
        <w:jc w:val="both"/>
        <w:rPr>
          <w:rFonts w:ascii="Calibri" w:eastAsia="Calibri" w:hAnsi="Calibri" w:cs="Calibri"/>
          <w:b/>
          <w:color w:val="632423" w:themeColor="accent2" w:themeShade="80"/>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2F5C68" w:rsidRPr="00BA5884" w:rsidTr="00080674">
        <w:trPr>
          <w:trHeight w:val="218"/>
        </w:trPr>
        <w:tc>
          <w:tcPr>
            <w:tcW w:w="5420" w:type="dxa"/>
          </w:tcPr>
          <w:p w:rsidR="002F5C68" w:rsidRPr="00BA5884" w:rsidRDefault="002F5C68" w:rsidP="00080674">
            <w:pPr>
              <w:autoSpaceDE w:val="0"/>
              <w:autoSpaceDN w:val="0"/>
              <w:adjustRightInd w:val="0"/>
              <w:rPr>
                <w:b/>
                <w:noProof/>
                <w:color w:val="632423" w:themeColor="accent2" w:themeShade="80"/>
                <w:sz w:val="16"/>
                <w:szCs w:val="16"/>
                <w:lang w:eastAsia="en-GB"/>
              </w:rPr>
            </w:pPr>
            <w:r w:rsidRPr="00BA5884">
              <w:rPr>
                <w:rFonts w:ascii="Calibri" w:eastAsia="Calibri" w:hAnsi="Calibri" w:cs="Calibri"/>
                <w:b/>
                <w:color w:val="632423" w:themeColor="accent2" w:themeShade="80"/>
                <w:sz w:val="22"/>
                <w:szCs w:val="22"/>
              </w:rPr>
              <w:t>Performance against target 2013/14:</w:t>
            </w:r>
          </w:p>
        </w:tc>
        <w:tc>
          <w:tcPr>
            <w:tcW w:w="3714" w:type="dxa"/>
            <w:gridSpan w:val="2"/>
          </w:tcPr>
          <w:p w:rsidR="002F5C68" w:rsidRPr="00BA5884" w:rsidRDefault="002F5C68"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Performance in previous two years:</w:t>
            </w:r>
          </w:p>
        </w:tc>
      </w:tr>
      <w:tr w:rsidR="002F5C68" w:rsidRPr="00BA5884" w:rsidTr="00080674">
        <w:tc>
          <w:tcPr>
            <w:tcW w:w="5420" w:type="dxa"/>
            <w:vMerge w:val="restart"/>
          </w:tcPr>
          <w:p w:rsidR="002F5C68" w:rsidRPr="00BA5884" w:rsidRDefault="002F5C68" w:rsidP="00080674">
            <w:pPr>
              <w:autoSpaceDE w:val="0"/>
              <w:autoSpaceDN w:val="0"/>
              <w:adjustRightInd w:val="0"/>
              <w:jc w:val="center"/>
              <w:rPr>
                <w:rFonts w:ascii="Calibri" w:eastAsia="Calibri" w:hAnsi="Calibri" w:cs="Calibri"/>
                <w:b/>
                <w:color w:val="632423" w:themeColor="accent2" w:themeShade="80"/>
                <w:sz w:val="8"/>
                <w:szCs w:val="8"/>
              </w:rPr>
            </w:pPr>
          </w:p>
          <w:p w:rsidR="002F5C68" w:rsidRPr="00BA5884" w:rsidRDefault="00365340" w:rsidP="00080674">
            <w:pPr>
              <w:autoSpaceDE w:val="0"/>
              <w:autoSpaceDN w:val="0"/>
              <w:adjustRightInd w:val="0"/>
              <w:jc w:val="center"/>
              <w:rPr>
                <w:rFonts w:ascii="Calibri" w:eastAsia="Calibri" w:hAnsi="Calibri" w:cs="Calibri"/>
                <w:b/>
                <w:color w:val="632423" w:themeColor="accent2" w:themeShade="80"/>
                <w:sz w:val="12"/>
                <w:szCs w:val="12"/>
              </w:rPr>
            </w:pPr>
            <w:r w:rsidRPr="000B530E">
              <w:rPr>
                <w:b/>
                <w:noProof/>
                <w:color w:val="3F4F21"/>
                <w:sz w:val="32"/>
                <w:szCs w:val="32"/>
                <w:lang w:eastAsia="en-GB"/>
              </w:rPr>
              <w:drawing>
                <wp:inline distT="0" distB="0" distL="0" distR="0" wp14:anchorId="1366B0FF" wp14:editId="65A0F0F7">
                  <wp:extent cx="1666875" cy="501917"/>
                  <wp:effectExtent l="0" t="0" r="0" b="0"/>
                  <wp:docPr id="129" name="Picture 12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2F5C68" w:rsidRPr="00BA5884" w:rsidRDefault="002F5C68" w:rsidP="00080674">
            <w:pPr>
              <w:autoSpaceDE w:val="0"/>
              <w:autoSpaceDN w:val="0"/>
              <w:adjustRightInd w:val="0"/>
              <w:rPr>
                <w:rFonts w:ascii="Calibri" w:eastAsia="Calibri" w:hAnsi="Calibri" w:cs="Calibri"/>
                <w:b/>
                <w:color w:val="632423" w:themeColor="accent2" w:themeShade="80"/>
                <w:sz w:val="22"/>
                <w:szCs w:val="22"/>
              </w:rPr>
            </w:pPr>
            <w:r w:rsidRPr="00BA5884">
              <w:rPr>
                <w:rFonts w:ascii="Calibri" w:eastAsia="Calibri" w:hAnsi="Calibri" w:cs="Calibri"/>
                <w:b/>
                <w:color w:val="632423" w:themeColor="accent2" w:themeShade="80"/>
                <w:sz w:val="22"/>
                <w:szCs w:val="22"/>
              </w:rPr>
              <w:t>2012/13:</w:t>
            </w:r>
          </w:p>
        </w:tc>
        <w:tc>
          <w:tcPr>
            <w:tcW w:w="2613" w:type="dxa"/>
          </w:tcPr>
          <w:p w:rsidR="002F5C68" w:rsidRPr="00BA5884" w:rsidRDefault="002F5C68" w:rsidP="00080674">
            <w:pPr>
              <w:autoSpaceDE w:val="0"/>
              <w:autoSpaceDN w:val="0"/>
              <w:adjustRightInd w:val="0"/>
              <w:rPr>
                <w:rFonts w:ascii="Calibri" w:eastAsia="Calibri" w:hAnsi="Calibri" w:cs="Calibri"/>
                <w:b/>
                <w:color w:val="632423" w:themeColor="accent2" w:themeShade="80"/>
                <w:sz w:val="22"/>
                <w:szCs w:val="22"/>
              </w:rPr>
            </w:pPr>
            <w:r>
              <w:rPr>
                <w:b/>
                <w:noProof/>
                <w:sz w:val="32"/>
                <w:szCs w:val="32"/>
                <w:lang w:eastAsia="en-GB"/>
              </w:rPr>
              <w:drawing>
                <wp:inline distT="0" distB="0" distL="0" distR="0" wp14:anchorId="6A4914C3" wp14:editId="10AE5F4D">
                  <wp:extent cx="1085850" cy="338644"/>
                  <wp:effectExtent l="0" t="0" r="0" b="4445"/>
                  <wp:docPr id="134" name="Picture 134"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2F5C68" w:rsidRPr="00BA5884" w:rsidRDefault="002F5C68" w:rsidP="00080674">
            <w:pPr>
              <w:autoSpaceDE w:val="0"/>
              <w:autoSpaceDN w:val="0"/>
              <w:adjustRightInd w:val="0"/>
              <w:jc w:val="center"/>
              <w:rPr>
                <w:rFonts w:ascii="Calibri" w:eastAsia="Calibri" w:hAnsi="Calibri" w:cs="Calibri"/>
                <w:b/>
                <w:color w:val="632423" w:themeColor="accent2" w:themeShade="80"/>
                <w:sz w:val="8"/>
                <w:szCs w:val="8"/>
              </w:rPr>
            </w:pPr>
          </w:p>
        </w:tc>
      </w:tr>
      <w:tr w:rsidR="002F5C68" w:rsidRPr="00BA5884" w:rsidTr="00080674">
        <w:tc>
          <w:tcPr>
            <w:tcW w:w="5420" w:type="dxa"/>
            <w:vMerge/>
          </w:tcPr>
          <w:p w:rsidR="002F5C68" w:rsidRPr="00BA5884" w:rsidRDefault="002F5C68" w:rsidP="00080674">
            <w:pPr>
              <w:autoSpaceDE w:val="0"/>
              <w:autoSpaceDN w:val="0"/>
              <w:adjustRightInd w:val="0"/>
              <w:jc w:val="center"/>
              <w:rPr>
                <w:rFonts w:ascii="Calibri" w:eastAsia="Calibri" w:hAnsi="Calibri" w:cs="Calibri"/>
                <w:b/>
                <w:color w:val="632423" w:themeColor="accent2" w:themeShade="80"/>
                <w:sz w:val="22"/>
                <w:szCs w:val="22"/>
              </w:rPr>
            </w:pPr>
          </w:p>
        </w:tc>
        <w:tc>
          <w:tcPr>
            <w:tcW w:w="1101" w:type="dxa"/>
          </w:tcPr>
          <w:p w:rsidR="002F5C68" w:rsidRPr="008F4949" w:rsidRDefault="002F5C68" w:rsidP="00080674">
            <w:pPr>
              <w:autoSpaceDE w:val="0"/>
              <w:autoSpaceDN w:val="0"/>
              <w:adjustRightInd w:val="0"/>
              <w:rPr>
                <w:rFonts w:ascii="Calibri" w:eastAsia="Calibri" w:hAnsi="Calibri" w:cs="Calibri"/>
                <w:b/>
                <w:color w:val="632423" w:themeColor="accent2" w:themeShade="80"/>
                <w:sz w:val="22"/>
                <w:szCs w:val="22"/>
              </w:rPr>
            </w:pPr>
            <w:r w:rsidRPr="008F4949">
              <w:rPr>
                <w:rFonts w:ascii="Calibri" w:eastAsia="Calibri" w:hAnsi="Calibri" w:cs="Calibri"/>
                <w:b/>
                <w:color w:val="632423" w:themeColor="accent2" w:themeShade="80"/>
                <w:sz w:val="22"/>
                <w:szCs w:val="22"/>
              </w:rPr>
              <w:t>2011/12:</w:t>
            </w:r>
          </w:p>
        </w:tc>
        <w:tc>
          <w:tcPr>
            <w:tcW w:w="2613" w:type="dxa"/>
          </w:tcPr>
          <w:p w:rsidR="002F5C68" w:rsidRPr="008F4949" w:rsidRDefault="002F5C68" w:rsidP="00080674">
            <w:pPr>
              <w:autoSpaceDE w:val="0"/>
              <w:autoSpaceDN w:val="0"/>
              <w:adjustRightInd w:val="0"/>
              <w:rPr>
                <w:rFonts w:ascii="Calibri" w:eastAsia="Calibri" w:hAnsi="Calibri" w:cs="Calibri"/>
                <w:b/>
                <w:color w:val="632423" w:themeColor="accent2" w:themeShade="80"/>
                <w:sz w:val="20"/>
                <w:szCs w:val="20"/>
              </w:rPr>
            </w:pPr>
            <w:r w:rsidRPr="008F4949">
              <w:rPr>
                <w:b/>
                <w:noProof/>
                <w:color w:val="632423" w:themeColor="accent2" w:themeShade="80"/>
                <w:sz w:val="20"/>
                <w:szCs w:val="20"/>
                <w:lang w:eastAsia="en-GB"/>
              </w:rPr>
              <w:t>N/A</w:t>
            </w:r>
          </w:p>
        </w:tc>
      </w:tr>
    </w:tbl>
    <w:p w:rsidR="002F5C68" w:rsidRDefault="002F5C68" w:rsidP="00A31762">
      <w:pPr>
        <w:rPr>
          <w:color w:val="632423" w:themeColor="accent2" w:themeShade="80"/>
          <w:sz w:val="22"/>
          <w:szCs w:val="22"/>
        </w:rPr>
      </w:pPr>
    </w:p>
    <w:p w:rsidR="00807CDB" w:rsidRDefault="00807CDB" w:rsidP="00A31762">
      <w:pPr>
        <w:rPr>
          <w:color w:val="632423" w:themeColor="accent2" w:themeShade="80"/>
          <w:sz w:val="22"/>
          <w:szCs w:val="22"/>
        </w:rPr>
      </w:pPr>
    </w:p>
    <w:p w:rsidR="0075464C" w:rsidRDefault="00365340"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Policy CS7 of</w:t>
      </w:r>
      <w:r w:rsidR="0075464C">
        <w:rPr>
          <w:rFonts w:ascii="Calibri" w:eastAsia="Calibri" w:hAnsi="Calibri" w:cs="Times New Roman"/>
          <w:sz w:val="22"/>
          <w:szCs w:val="22"/>
        </w:rPr>
        <w:t xml:space="preserve"> </w:t>
      </w:r>
      <w:r>
        <w:rPr>
          <w:rFonts w:ascii="Calibri" w:eastAsia="Calibri" w:hAnsi="Calibri" w:cs="Times New Roman"/>
          <w:sz w:val="22"/>
          <w:szCs w:val="22"/>
        </w:rPr>
        <w:t xml:space="preserve">the Core Strategy </w:t>
      </w:r>
      <w:r w:rsidR="0075464C">
        <w:rPr>
          <w:rFonts w:ascii="Calibri" w:eastAsia="Calibri" w:hAnsi="Calibri" w:cs="Times New Roman"/>
          <w:sz w:val="22"/>
          <w:szCs w:val="22"/>
        </w:rPr>
        <w:t>allo</w:t>
      </w:r>
      <w:r>
        <w:rPr>
          <w:rFonts w:ascii="Calibri" w:eastAsia="Calibri" w:hAnsi="Calibri" w:cs="Times New Roman"/>
          <w:sz w:val="22"/>
          <w:szCs w:val="22"/>
        </w:rPr>
        <w:t xml:space="preserve">cates land in the north of the </w:t>
      </w:r>
      <w:r w:rsidR="003161C9">
        <w:rPr>
          <w:rFonts w:ascii="Calibri" w:eastAsia="Calibri" w:hAnsi="Calibri" w:cs="Times New Roman"/>
          <w:sz w:val="22"/>
          <w:szCs w:val="22"/>
        </w:rPr>
        <w:t>city</w:t>
      </w:r>
      <w:r w:rsidR="0075464C">
        <w:rPr>
          <w:rFonts w:ascii="Calibri" w:eastAsia="Calibri" w:hAnsi="Calibri" w:cs="Times New Roman"/>
          <w:sz w:val="22"/>
          <w:szCs w:val="22"/>
        </w:rPr>
        <w:t xml:space="preserve"> between Barton and Northway (known as land at Barton) for a predominately </w:t>
      </w:r>
      <w:r w:rsidR="00270458">
        <w:rPr>
          <w:rFonts w:ascii="Calibri" w:eastAsia="Calibri" w:hAnsi="Calibri" w:cs="Times New Roman"/>
          <w:sz w:val="22"/>
          <w:szCs w:val="22"/>
        </w:rPr>
        <w:t>residential development of 800 -</w:t>
      </w:r>
      <w:r w:rsidR="0075464C">
        <w:rPr>
          <w:rFonts w:ascii="Calibri" w:eastAsia="Calibri" w:hAnsi="Calibri" w:cs="Times New Roman"/>
          <w:sz w:val="22"/>
          <w:szCs w:val="22"/>
        </w:rPr>
        <w:t xml:space="preserve"> 1,200 new dwellings. This 36 hectare site is the largest residential development opportunity in the city.</w:t>
      </w:r>
    </w:p>
    <w:p w:rsidR="0075464C" w:rsidRDefault="0075464C" w:rsidP="0075464C">
      <w:pPr>
        <w:pStyle w:val="ListParagraph"/>
        <w:spacing w:after="200" w:line="276" w:lineRule="auto"/>
        <w:ind w:left="502"/>
        <w:jc w:val="both"/>
        <w:rPr>
          <w:rFonts w:ascii="Calibri" w:eastAsia="Calibri" w:hAnsi="Calibri" w:cs="Times New Roman"/>
          <w:sz w:val="22"/>
          <w:szCs w:val="22"/>
        </w:rPr>
      </w:pPr>
    </w:p>
    <w:p w:rsidR="002C0AAC" w:rsidRDefault="000C5382" w:rsidP="004335B5">
      <w:pPr>
        <w:pStyle w:val="ListParagraph"/>
        <w:numPr>
          <w:ilvl w:val="0"/>
          <w:numId w:val="6"/>
        </w:numPr>
        <w:spacing w:after="200" w:line="276" w:lineRule="auto"/>
        <w:jc w:val="both"/>
        <w:rPr>
          <w:rFonts w:ascii="Calibri" w:eastAsia="Calibri" w:hAnsi="Calibri" w:cs="Times New Roman"/>
          <w:sz w:val="22"/>
          <w:szCs w:val="22"/>
        </w:rPr>
      </w:pPr>
      <w:r w:rsidRPr="008158D8">
        <w:rPr>
          <w:rFonts w:ascii="Calibri" w:eastAsia="Calibri" w:hAnsi="Calibri" w:cs="Times New Roman"/>
          <w:sz w:val="22"/>
          <w:szCs w:val="22"/>
        </w:rPr>
        <w:t>The Barton A</w:t>
      </w:r>
      <w:r w:rsidR="00B02219" w:rsidRPr="008158D8">
        <w:rPr>
          <w:rFonts w:ascii="Calibri" w:eastAsia="Calibri" w:hAnsi="Calibri" w:cs="Times New Roman"/>
          <w:sz w:val="22"/>
          <w:szCs w:val="22"/>
        </w:rPr>
        <w:t xml:space="preserve">rea </w:t>
      </w:r>
      <w:r w:rsidRPr="008158D8">
        <w:rPr>
          <w:rFonts w:ascii="Calibri" w:eastAsia="Calibri" w:hAnsi="Calibri" w:cs="Times New Roman"/>
          <w:sz w:val="22"/>
          <w:szCs w:val="22"/>
        </w:rPr>
        <w:t>A</w:t>
      </w:r>
      <w:r w:rsidR="00B02219" w:rsidRPr="008158D8">
        <w:rPr>
          <w:rFonts w:ascii="Calibri" w:eastAsia="Calibri" w:hAnsi="Calibri" w:cs="Times New Roman"/>
          <w:sz w:val="22"/>
          <w:szCs w:val="22"/>
        </w:rPr>
        <w:t xml:space="preserve">ction </w:t>
      </w:r>
      <w:r w:rsidRPr="008158D8">
        <w:rPr>
          <w:rFonts w:ascii="Calibri" w:eastAsia="Calibri" w:hAnsi="Calibri" w:cs="Times New Roman"/>
          <w:sz w:val="22"/>
          <w:szCs w:val="22"/>
        </w:rPr>
        <w:t>P</w:t>
      </w:r>
      <w:r w:rsidR="00B02219" w:rsidRPr="008158D8">
        <w:rPr>
          <w:rFonts w:ascii="Calibri" w:eastAsia="Calibri" w:hAnsi="Calibri" w:cs="Times New Roman"/>
          <w:sz w:val="22"/>
          <w:szCs w:val="22"/>
        </w:rPr>
        <w:t>lan (AAP)</w:t>
      </w:r>
      <w:r w:rsidRPr="008158D8">
        <w:rPr>
          <w:rFonts w:ascii="Calibri" w:eastAsia="Calibri" w:hAnsi="Calibri" w:cs="Times New Roman"/>
          <w:sz w:val="22"/>
          <w:szCs w:val="22"/>
        </w:rPr>
        <w:t xml:space="preserve"> </w:t>
      </w:r>
      <w:r w:rsidR="004F4073" w:rsidRPr="008158D8">
        <w:rPr>
          <w:rFonts w:ascii="Calibri" w:eastAsia="Calibri" w:hAnsi="Calibri" w:cs="Times New Roman"/>
          <w:sz w:val="22"/>
          <w:szCs w:val="22"/>
        </w:rPr>
        <w:t>sets out the</w:t>
      </w:r>
      <w:r w:rsidR="00B02219" w:rsidRPr="008158D8">
        <w:rPr>
          <w:rFonts w:ascii="Calibri" w:eastAsia="Calibri" w:hAnsi="Calibri" w:cs="Times New Roman"/>
          <w:sz w:val="22"/>
          <w:szCs w:val="22"/>
        </w:rPr>
        <w:t xml:space="preserve"> vision and policies </w:t>
      </w:r>
      <w:r w:rsidR="0075464C" w:rsidRPr="008158D8">
        <w:rPr>
          <w:rFonts w:ascii="Calibri" w:eastAsia="Calibri" w:hAnsi="Calibri" w:cs="Times New Roman"/>
          <w:sz w:val="22"/>
          <w:szCs w:val="22"/>
        </w:rPr>
        <w:t>that will guide</w:t>
      </w:r>
      <w:r w:rsidR="00C6532A" w:rsidRPr="008158D8">
        <w:rPr>
          <w:rFonts w:ascii="Calibri" w:eastAsia="Calibri" w:hAnsi="Calibri" w:cs="Times New Roman"/>
          <w:sz w:val="22"/>
          <w:szCs w:val="22"/>
        </w:rPr>
        <w:t xml:space="preserve"> development </w:t>
      </w:r>
      <w:r w:rsidR="0075464C" w:rsidRPr="008158D8">
        <w:rPr>
          <w:rFonts w:ascii="Calibri" w:eastAsia="Calibri" w:hAnsi="Calibri" w:cs="Times New Roman"/>
          <w:sz w:val="22"/>
          <w:szCs w:val="22"/>
        </w:rPr>
        <w:t>on this important site.</w:t>
      </w:r>
      <w:r w:rsidR="00C6532A" w:rsidRPr="008158D8">
        <w:rPr>
          <w:rFonts w:ascii="Calibri" w:eastAsia="Calibri" w:hAnsi="Calibri" w:cs="Times New Roman"/>
          <w:sz w:val="22"/>
          <w:szCs w:val="22"/>
        </w:rPr>
        <w:t xml:space="preserve"> The AAP sets its own targets and indicators in order to measure how</w:t>
      </w:r>
      <w:r w:rsidR="004F4073" w:rsidRPr="008158D8">
        <w:rPr>
          <w:rFonts w:ascii="Calibri" w:eastAsia="Calibri" w:hAnsi="Calibri" w:cs="Times New Roman"/>
          <w:sz w:val="22"/>
          <w:szCs w:val="22"/>
        </w:rPr>
        <w:t xml:space="preserve"> the policies are being applied</w:t>
      </w:r>
      <w:r w:rsidR="0075464C" w:rsidRPr="008158D8">
        <w:rPr>
          <w:rFonts w:ascii="Calibri" w:eastAsia="Calibri" w:hAnsi="Calibri" w:cs="Times New Roman"/>
          <w:sz w:val="22"/>
          <w:szCs w:val="22"/>
        </w:rPr>
        <w:t>. As t</w:t>
      </w:r>
      <w:r w:rsidR="004F4073" w:rsidRPr="008158D8">
        <w:rPr>
          <w:rFonts w:ascii="Calibri" w:eastAsia="Calibri" w:hAnsi="Calibri" w:cs="Times New Roman"/>
          <w:sz w:val="22"/>
          <w:szCs w:val="22"/>
        </w:rPr>
        <w:t>he AAP was only recently adopted (during the previous monitoring year) it is too early to begin to</w:t>
      </w:r>
      <w:r w:rsidR="008158D8" w:rsidRPr="008158D8">
        <w:rPr>
          <w:rFonts w:ascii="Calibri" w:eastAsia="Calibri" w:hAnsi="Calibri" w:cs="Times New Roman"/>
          <w:sz w:val="22"/>
          <w:szCs w:val="22"/>
        </w:rPr>
        <w:t xml:space="preserve"> monitor the targets</w:t>
      </w:r>
      <w:r w:rsidR="004F4073" w:rsidRPr="008158D8">
        <w:rPr>
          <w:rFonts w:ascii="Calibri" w:eastAsia="Calibri" w:hAnsi="Calibri" w:cs="Times New Roman"/>
          <w:sz w:val="22"/>
          <w:szCs w:val="22"/>
        </w:rPr>
        <w:t xml:space="preserve"> in detail</w:t>
      </w:r>
      <w:r w:rsidR="008158D8" w:rsidRPr="008158D8">
        <w:rPr>
          <w:rFonts w:ascii="Calibri" w:eastAsia="Calibri" w:hAnsi="Calibri" w:cs="Times New Roman"/>
          <w:sz w:val="22"/>
          <w:szCs w:val="22"/>
        </w:rPr>
        <w:t>. However, it is important to note that significant progress has been made in bringing this development forward</w:t>
      </w:r>
      <w:r w:rsidR="00365340">
        <w:rPr>
          <w:rFonts w:ascii="Calibri" w:eastAsia="Calibri" w:hAnsi="Calibri" w:cs="Times New Roman"/>
          <w:sz w:val="22"/>
          <w:szCs w:val="22"/>
        </w:rPr>
        <w:t>,</w:t>
      </w:r>
      <w:r w:rsidR="008158D8" w:rsidRPr="008158D8">
        <w:rPr>
          <w:rFonts w:ascii="Calibri" w:eastAsia="Calibri" w:hAnsi="Calibri" w:cs="Times New Roman"/>
          <w:sz w:val="22"/>
          <w:szCs w:val="22"/>
        </w:rPr>
        <w:t xml:space="preserve"> as o</w:t>
      </w:r>
      <w:r w:rsidR="00C6532A" w:rsidRPr="008158D8">
        <w:rPr>
          <w:rFonts w:ascii="Calibri" w:eastAsia="Calibri" w:hAnsi="Calibri" w:cs="Times New Roman"/>
          <w:sz w:val="22"/>
          <w:szCs w:val="22"/>
        </w:rPr>
        <w:t xml:space="preserve">utline planning permission was granted in September 2013 </w:t>
      </w:r>
      <w:r w:rsidR="002D3920" w:rsidRPr="008158D8">
        <w:rPr>
          <w:rFonts w:ascii="Calibri" w:eastAsia="Calibri" w:hAnsi="Calibri" w:cs="Times New Roman"/>
          <w:sz w:val="22"/>
          <w:szCs w:val="22"/>
        </w:rPr>
        <w:t>(seeking means of access)</w:t>
      </w:r>
      <w:r w:rsidR="002F3A76" w:rsidRPr="008158D8">
        <w:rPr>
          <w:rFonts w:ascii="Calibri" w:eastAsia="Calibri" w:hAnsi="Calibri" w:cs="Times New Roman"/>
          <w:sz w:val="22"/>
          <w:szCs w:val="22"/>
        </w:rPr>
        <w:t xml:space="preserve"> for the erection of a</w:t>
      </w:r>
      <w:r w:rsidR="00C6532A" w:rsidRPr="008158D8">
        <w:rPr>
          <w:rFonts w:ascii="Calibri" w:eastAsia="Calibri" w:hAnsi="Calibri" w:cs="Times New Roman"/>
          <w:sz w:val="22"/>
          <w:szCs w:val="22"/>
        </w:rPr>
        <w:t xml:space="preserve"> maximum of 885 residential units (C</w:t>
      </w:r>
      <w:r w:rsidR="002D3920" w:rsidRPr="008158D8">
        <w:rPr>
          <w:rFonts w:ascii="Calibri" w:eastAsia="Calibri" w:hAnsi="Calibri" w:cs="Times New Roman"/>
          <w:sz w:val="22"/>
          <w:szCs w:val="22"/>
        </w:rPr>
        <w:t>lass C3); a maximum of 2,500 m</w:t>
      </w:r>
      <w:r w:rsidR="002D3920" w:rsidRPr="008158D8">
        <w:rPr>
          <w:rFonts w:ascii="Calibri" w:eastAsia="Calibri" w:hAnsi="Calibri" w:cs="Times New Roman"/>
          <w:sz w:val="22"/>
          <w:szCs w:val="22"/>
          <w:vertAlign w:val="superscript"/>
        </w:rPr>
        <w:t>2</w:t>
      </w:r>
      <w:r w:rsidR="00C6532A" w:rsidRPr="008158D8">
        <w:rPr>
          <w:rFonts w:ascii="Calibri" w:eastAsia="Calibri" w:hAnsi="Calibri" w:cs="Times New Roman"/>
          <w:sz w:val="22"/>
          <w:szCs w:val="22"/>
        </w:rPr>
        <w:t xml:space="preserve"> gross Class A1, A2, A3, A4 and A</w:t>
      </w:r>
      <w:r w:rsidR="002D3920" w:rsidRPr="008158D8">
        <w:rPr>
          <w:rFonts w:ascii="Calibri" w:eastAsia="Calibri" w:hAnsi="Calibri" w:cs="Times New Roman"/>
          <w:sz w:val="22"/>
          <w:szCs w:val="22"/>
        </w:rPr>
        <w:t>5 uses (with a maximum of 2,000 m</w:t>
      </w:r>
      <w:r w:rsidR="002D3920" w:rsidRPr="008158D8">
        <w:rPr>
          <w:rFonts w:ascii="Calibri" w:eastAsia="Calibri" w:hAnsi="Calibri" w:cs="Times New Roman"/>
          <w:sz w:val="22"/>
          <w:szCs w:val="22"/>
          <w:vertAlign w:val="superscript"/>
        </w:rPr>
        <w:t>2</w:t>
      </w:r>
      <w:r w:rsidR="00C6532A" w:rsidRPr="008158D8">
        <w:rPr>
          <w:rFonts w:ascii="Calibri" w:eastAsia="Calibri" w:hAnsi="Calibri" w:cs="Times New Roman"/>
          <w:sz w:val="22"/>
          <w:szCs w:val="22"/>
        </w:rPr>
        <w:t xml:space="preserve"> gross </w:t>
      </w:r>
      <w:r w:rsidR="008158D8" w:rsidRPr="008158D8">
        <w:rPr>
          <w:rFonts w:ascii="Calibri" w:eastAsia="Calibri" w:hAnsi="Calibri" w:cs="Times New Roman"/>
          <w:sz w:val="22"/>
          <w:szCs w:val="22"/>
        </w:rPr>
        <w:t>food store</w:t>
      </w:r>
      <w:r w:rsidR="00C6532A" w:rsidRPr="008158D8">
        <w:rPr>
          <w:rFonts w:ascii="Calibri" w:eastAsia="Calibri" w:hAnsi="Calibri" w:cs="Times New Roman"/>
          <w:sz w:val="22"/>
          <w:szCs w:val="22"/>
        </w:rPr>
        <w:t xml:space="preserve"> Class A1); a maximum of 50 extra care housi</w:t>
      </w:r>
      <w:r w:rsidR="002D3920" w:rsidRPr="008158D8">
        <w:rPr>
          <w:rFonts w:ascii="Calibri" w:eastAsia="Calibri" w:hAnsi="Calibri" w:cs="Times New Roman"/>
          <w:sz w:val="22"/>
          <w:szCs w:val="22"/>
        </w:rPr>
        <w:t xml:space="preserve">ng units; </w:t>
      </w:r>
      <w:r w:rsidR="002F3A76" w:rsidRPr="008158D8">
        <w:rPr>
          <w:rFonts w:ascii="Calibri" w:eastAsia="Calibri" w:hAnsi="Calibri" w:cs="Times New Roman"/>
          <w:sz w:val="22"/>
          <w:szCs w:val="22"/>
        </w:rPr>
        <w:t xml:space="preserve">and </w:t>
      </w:r>
      <w:r w:rsidR="002D3920" w:rsidRPr="008158D8">
        <w:rPr>
          <w:rFonts w:ascii="Calibri" w:eastAsia="Calibri" w:hAnsi="Calibri" w:cs="Times New Roman"/>
          <w:sz w:val="22"/>
          <w:szCs w:val="22"/>
        </w:rPr>
        <w:t>a maximum of 7,350 m</w:t>
      </w:r>
      <w:r w:rsidR="002D3920" w:rsidRPr="008158D8">
        <w:rPr>
          <w:rFonts w:ascii="Calibri" w:eastAsia="Calibri" w:hAnsi="Calibri" w:cs="Times New Roman"/>
          <w:sz w:val="22"/>
          <w:szCs w:val="22"/>
          <w:vertAlign w:val="superscript"/>
        </w:rPr>
        <w:t>2</w:t>
      </w:r>
      <w:r w:rsidR="00C6532A" w:rsidRPr="008158D8">
        <w:rPr>
          <w:rFonts w:ascii="Calibri" w:eastAsia="Calibri" w:hAnsi="Calibri" w:cs="Times New Roman"/>
          <w:sz w:val="22"/>
          <w:szCs w:val="22"/>
        </w:rPr>
        <w:t xml:space="preserve"> GEA.</w:t>
      </w:r>
      <w:r w:rsidR="002F3A76" w:rsidRPr="008158D8">
        <w:rPr>
          <w:rFonts w:ascii="Calibri" w:eastAsia="Calibri" w:hAnsi="Calibri" w:cs="Times New Roman"/>
          <w:sz w:val="22"/>
          <w:szCs w:val="22"/>
        </w:rPr>
        <w:t xml:space="preserve"> </w:t>
      </w:r>
      <w:r w:rsidR="00365340">
        <w:rPr>
          <w:rFonts w:ascii="Calibri" w:eastAsia="Calibri" w:hAnsi="Calibri" w:cs="Times New Roman"/>
          <w:sz w:val="22"/>
          <w:szCs w:val="22"/>
        </w:rPr>
        <w:t xml:space="preserve"> Work is now progressing on preparing reserved matters applications.</w:t>
      </w:r>
    </w:p>
    <w:p w:rsidR="00365340" w:rsidRPr="00365340" w:rsidRDefault="00365340" w:rsidP="00365340">
      <w:pPr>
        <w:pStyle w:val="ListParagrap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Default="00365340" w:rsidP="00365340">
      <w:pPr>
        <w:pStyle w:val="ListParagraph"/>
        <w:spacing w:after="200" w:line="276" w:lineRule="auto"/>
        <w:ind w:left="502"/>
        <w:jc w:val="both"/>
        <w:rPr>
          <w:rFonts w:ascii="Calibri" w:eastAsia="Calibri" w:hAnsi="Calibri" w:cs="Times New Roman"/>
          <w:sz w:val="22"/>
          <w:szCs w:val="22"/>
        </w:rPr>
      </w:pPr>
    </w:p>
    <w:p w:rsidR="00365340" w:rsidRPr="008158D8" w:rsidRDefault="00365340" w:rsidP="00365340">
      <w:pPr>
        <w:pStyle w:val="ListParagraph"/>
        <w:spacing w:after="200" w:line="276" w:lineRule="auto"/>
        <w:ind w:left="502"/>
        <w:jc w:val="both"/>
        <w:rPr>
          <w:rFonts w:ascii="Calibri" w:eastAsia="Calibri" w:hAnsi="Calibri" w:cs="Times New Roman"/>
          <w:sz w:val="22"/>
          <w:szCs w:val="22"/>
        </w:rPr>
      </w:pPr>
    </w:p>
    <w:p w:rsidR="002C0AAC" w:rsidRDefault="00365340" w:rsidP="002C0AAC">
      <w:pPr>
        <w:rPr>
          <w:rFonts w:ascii="Calibri" w:eastAsia="Calibri" w:hAnsi="Calibri" w:cs="Calibri"/>
          <w:b/>
          <w:color w:val="632423" w:themeColor="accent2" w:themeShade="80"/>
          <w:sz w:val="28"/>
          <w:szCs w:val="28"/>
        </w:rPr>
      </w:pPr>
      <w:r w:rsidRPr="0036534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68160" behindDoc="0" locked="0" layoutInCell="1" allowOverlap="1" wp14:anchorId="0C8AB404" wp14:editId="4028A2EB">
                <wp:simplePos x="0" y="0"/>
                <wp:positionH relativeFrom="column">
                  <wp:posOffset>3569335</wp:posOffset>
                </wp:positionH>
                <wp:positionV relativeFrom="paragraph">
                  <wp:posOffset>-643890</wp:posOffset>
                </wp:positionV>
                <wp:extent cx="2427605" cy="352425"/>
                <wp:effectExtent l="0" t="0" r="0" b="9525"/>
                <wp:wrapNone/>
                <wp:docPr id="90" name="Text Box 90"/>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280EB5" w:rsidRDefault="000D3CFF" w:rsidP="00365340">
                            <w:pPr>
                              <w:jc w:val="right"/>
                              <w:rPr>
                                <w:b/>
                                <w:color w:val="632423" w:themeColor="accent2" w:themeShade="80"/>
                              </w:rPr>
                            </w:pPr>
                            <w:r w:rsidRPr="00280EB5">
                              <w:rPr>
                                <w:b/>
                                <w:color w:val="632423" w:themeColor="accent2" w:themeShade="80"/>
                              </w:rPr>
                              <w:t>Strong, Active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 o:spid="_x0000_s1068" type="#_x0000_t202" style="position:absolute;margin-left:281.05pt;margin-top:-50.7pt;width:191.15pt;height:27.7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" fillcolor="window" stroked="f" strokeweight=".5pt">
                <v:textbox>
                  <w:txbxContent>
                    <w:p w:rsidR="000D3CFF" w:rsidRPr="00280EB5" w:rsidRDefault="000D3CFF" w:rsidP="00365340">
                      <w:pPr>
                        <w:jc w:val="right"/>
                        <w:rPr>
                          <w:b/>
                          <w:color w:val="632423" w:themeColor="accent2" w:themeShade="80"/>
                        </w:rPr>
                      </w:pPr>
                      <w:r w:rsidRPr="00280EB5">
                        <w:rPr>
                          <w:b/>
                          <w:color w:val="632423" w:themeColor="accent2" w:themeShade="80"/>
                        </w:rPr>
                        <w:t>Strong, Active Communities</w:t>
                      </w:r>
                    </w:p>
                  </w:txbxContent>
                </v:textbox>
              </v:shape>
            </w:pict>
          </mc:Fallback>
        </mc:AlternateContent>
      </w:r>
      <w:r w:rsidR="001E78F4">
        <w:rPr>
          <w:rFonts w:ascii="Calibri" w:eastAsia="Calibri" w:hAnsi="Calibri" w:cs="Calibri"/>
          <w:b/>
          <w:color w:val="632423" w:themeColor="accent2" w:themeShade="80"/>
          <w:sz w:val="28"/>
          <w:szCs w:val="28"/>
        </w:rPr>
        <w:t>Summary</w:t>
      </w:r>
      <w:r w:rsidR="002C0AAC" w:rsidRPr="00807CDB">
        <w:rPr>
          <w:rFonts w:ascii="Calibri" w:eastAsia="Calibri" w:hAnsi="Calibri" w:cs="Calibri"/>
          <w:b/>
          <w:color w:val="632423" w:themeColor="accent2" w:themeShade="80"/>
          <w:sz w:val="28"/>
          <w:szCs w:val="28"/>
        </w:rPr>
        <w:t xml:space="preserve">: </w:t>
      </w:r>
      <w:r w:rsidR="002C0AAC">
        <w:rPr>
          <w:rFonts w:ascii="Calibri" w:eastAsia="Calibri" w:hAnsi="Calibri" w:cs="Calibri"/>
          <w:b/>
          <w:color w:val="632423" w:themeColor="accent2" w:themeShade="80"/>
          <w:sz w:val="28"/>
          <w:szCs w:val="28"/>
        </w:rPr>
        <w:t>Strong Active Communities</w:t>
      </w:r>
    </w:p>
    <w:p w:rsidR="002C0AAC" w:rsidRDefault="002C0AAC" w:rsidP="002C0AAC">
      <w:pPr>
        <w:rPr>
          <w:rFonts w:ascii="Calibri" w:eastAsia="Calibri" w:hAnsi="Calibri" w:cs="Times New Roman"/>
          <w:sz w:val="22"/>
          <w:szCs w:val="22"/>
        </w:rPr>
      </w:pPr>
    </w:p>
    <w:tbl>
      <w:tblPr>
        <w:tblStyle w:val="TableGrid"/>
        <w:tblW w:w="0" w:type="auto"/>
        <w:tblInd w:w="959"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FDE9D9" w:themeFill="accent6" w:themeFillTint="33"/>
        <w:tblLook w:val="04A0" w:firstRow="1" w:lastRow="0" w:firstColumn="1" w:lastColumn="0" w:noHBand="0" w:noVBand="1"/>
      </w:tblPr>
      <w:tblGrid>
        <w:gridCol w:w="2409"/>
        <w:gridCol w:w="2410"/>
        <w:gridCol w:w="2410"/>
      </w:tblGrid>
      <w:tr w:rsidR="00365340" w:rsidRPr="00B42F30" w:rsidTr="00365340">
        <w:tc>
          <w:tcPr>
            <w:tcW w:w="2409" w:type="dxa"/>
            <w:shd w:val="clear" w:color="auto" w:fill="F2DBDB" w:themeFill="accent2" w:themeFillTint="33"/>
          </w:tcPr>
          <w:p w:rsidR="00365340" w:rsidRDefault="00365340" w:rsidP="0035034F">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71FEE450" wp14:editId="5A89D430">
                  <wp:extent cx="946033" cy="284862"/>
                  <wp:effectExtent l="0" t="0" r="6985" b="1270"/>
                  <wp:docPr id="201" name="Picture 20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3" cy="289105"/>
                          </a:xfrm>
                          <a:prstGeom prst="rect">
                            <a:avLst/>
                          </a:prstGeom>
                          <a:noFill/>
                          <a:ln>
                            <a:noFill/>
                          </a:ln>
                        </pic:spPr>
                      </pic:pic>
                    </a:graphicData>
                  </a:graphic>
                </wp:inline>
              </w:drawing>
            </w:r>
          </w:p>
        </w:tc>
        <w:tc>
          <w:tcPr>
            <w:tcW w:w="2410" w:type="dxa"/>
            <w:shd w:val="clear" w:color="auto" w:fill="F2DBDB" w:themeFill="accent2" w:themeFillTint="33"/>
          </w:tcPr>
          <w:p w:rsidR="00365340" w:rsidRDefault="00365340" w:rsidP="0035034F">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749E0A54" wp14:editId="6DFF30FF">
                  <wp:extent cx="964729" cy="285750"/>
                  <wp:effectExtent l="0" t="0" r="6985" b="0"/>
                  <wp:docPr id="202" name="Picture 20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12" cy="290395"/>
                          </a:xfrm>
                          <a:prstGeom prst="rect">
                            <a:avLst/>
                          </a:prstGeom>
                          <a:noFill/>
                          <a:ln>
                            <a:noFill/>
                          </a:ln>
                        </pic:spPr>
                      </pic:pic>
                    </a:graphicData>
                  </a:graphic>
                </wp:inline>
              </w:drawing>
            </w:r>
          </w:p>
        </w:tc>
        <w:tc>
          <w:tcPr>
            <w:tcW w:w="2410" w:type="dxa"/>
            <w:shd w:val="clear" w:color="auto" w:fill="F2DBDB" w:themeFill="accent2" w:themeFillTint="33"/>
          </w:tcPr>
          <w:p w:rsidR="00365340" w:rsidRPr="00D812A6" w:rsidRDefault="00365340" w:rsidP="0035034F">
            <w:pPr>
              <w:autoSpaceDE w:val="0"/>
              <w:autoSpaceDN w:val="0"/>
              <w:adjustRightInd w:val="0"/>
              <w:spacing w:before="60" w:after="60"/>
              <w:jc w:val="center"/>
              <w:rPr>
                <w:rFonts w:ascii="Calibri" w:eastAsia="Calibri" w:hAnsi="Calibri" w:cs="Calibri"/>
                <w:color w:val="000000"/>
                <w:sz w:val="22"/>
                <w:szCs w:val="22"/>
              </w:rPr>
            </w:pPr>
            <w:r>
              <w:rPr>
                <w:noProof/>
                <w:lang w:eastAsia="en-GB"/>
              </w:rPr>
              <w:drawing>
                <wp:inline distT="0" distB="0" distL="0" distR="0" wp14:anchorId="7207A9D5" wp14:editId="2B0B52AE">
                  <wp:extent cx="947738" cy="290513"/>
                  <wp:effectExtent l="0" t="0" r="5080" b="0"/>
                  <wp:docPr id="203" name="Picture 20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5386" cy="298988"/>
                          </a:xfrm>
                          <a:prstGeom prst="rect">
                            <a:avLst/>
                          </a:prstGeom>
                          <a:noFill/>
                          <a:ln>
                            <a:noFill/>
                          </a:ln>
                        </pic:spPr>
                      </pic:pic>
                    </a:graphicData>
                  </a:graphic>
                </wp:inline>
              </w:drawing>
            </w:r>
          </w:p>
        </w:tc>
      </w:tr>
      <w:tr w:rsidR="00365340" w:rsidRPr="0067583C" w:rsidTr="00365340">
        <w:tc>
          <w:tcPr>
            <w:tcW w:w="2409" w:type="dxa"/>
            <w:shd w:val="clear" w:color="auto" w:fill="F2DBDB" w:themeFill="accent2" w:themeFillTint="33"/>
          </w:tcPr>
          <w:p w:rsidR="00365340" w:rsidRPr="00224FD4" w:rsidRDefault="00224FD4" w:rsidP="0035034F">
            <w:pPr>
              <w:autoSpaceDE w:val="0"/>
              <w:autoSpaceDN w:val="0"/>
              <w:adjustRightInd w:val="0"/>
              <w:spacing w:before="60" w:after="60"/>
              <w:jc w:val="center"/>
              <w:rPr>
                <w:rFonts w:ascii="Calibri" w:eastAsia="Calibri" w:hAnsi="Calibri" w:cs="Calibri"/>
                <w:color w:val="000000"/>
                <w:sz w:val="22"/>
                <w:szCs w:val="22"/>
              </w:rPr>
            </w:pPr>
            <w:r w:rsidRPr="00224FD4">
              <w:rPr>
                <w:rFonts w:ascii="Calibri" w:eastAsia="Calibri" w:hAnsi="Calibri" w:cs="Calibri"/>
                <w:color w:val="000000"/>
                <w:sz w:val="22"/>
                <w:szCs w:val="22"/>
              </w:rPr>
              <w:t>5</w:t>
            </w:r>
            <w:r w:rsidR="00365340" w:rsidRPr="00224FD4">
              <w:rPr>
                <w:rFonts w:ascii="Calibri" w:eastAsia="Calibri" w:hAnsi="Calibri" w:cs="Calibri"/>
                <w:color w:val="000000"/>
                <w:sz w:val="22"/>
                <w:szCs w:val="22"/>
              </w:rPr>
              <w:t xml:space="preserve"> (</w:t>
            </w:r>
            <w:r w:rsidR="00122763" w:rsidRPr="00224FD4">
              <w:rPr>
                <w:rFonts w:ascii="Calibri" w:eastAsia="Calibri" w:hAnsi="Calibri" w:cs="Calibri"/>
                <w:color w:val="000000"/>
                <w:sz w:val="22"/>
                <w:szCs w:val="22"/>
              </w:rPr>
              <w:t>100</w:t>
            </w:r>
            <w:r w:rsidR="00365340" w:rsidRPr="00224FD4">
              <w:rPr>
                <w:rFonts w:ascii="Calibri" w:eastAsia="Calibri" w:hAnsi="Calibri" w:cs="Calibri"/>
                <w:color w:val="000000"/>
                <w:sz w:val="22"/>
                <w:szCs w:val="22"/>
              </w:rPr>
              <w:t>%)</w:t>
            </w:r>
          </w:p>
        </w:tc>
        <w:tc>
          <w:tcPr>
            <w:tcW w:w="2410" w:type="dxa"/>
            <w:shd w:val="clear" w:color="auto" w:fill="F2DBDB" w:themeFill="accent2" w:themeFillTint="33"/>
          </w:tcPr>
          <w:p w:rsidR="00365340" w:rsidRPr="00224FD4" w:rsidRDefault="00122763" w:rsidP="0035034F">
            <w:pPr>
              <w:autoSpaceDE w:val="0"/>
              <w:autoSpaceDN w:val="0"/>
              <w:adjustRightInd w:val="0"/>
              <w:spacing w:before="60" w:after="60"/>
              <w:jc w:val="center"/>
              <w:rPr>
                <w:rFonts w:ascii="Calibri" w:eastAsia="Calibri" w:hAnsi="Calibri" w:cs="Calibri"/>
                <w:color w:val="000000"/>
                <w:sz w:val="22"/>
                <w:szCs w:val="22"/>
              </w:rPr>
            </w:pPr>
            <w:r w:rsidRPr="00224FD4">
              <w:rPr>
                <w:rFonts w:ascii="Calibri" w:eastAsia="Calibri" w:hAnsi="Calibri" w:cs="Calibri"/>
                <w:color w:val="000000"/>
                <w:sz w:val="22"/>
                <w:szCs w:val="22"/>
              </w:rPr>
              <w:t>0</w:t>
            </w:r>
            <w:r w:rsidR="00365340" w:rsidRPr="00224FD4">
              <w:rPr>
                <w:rFonts w:ascii="Calibri" w:eastAsia="Calibri" w:hAnsi="Calibri" w:cs="Calibri"/>
                <w:color w:val="000000"/>
                <w:sz w:val="22"/>
                <w:szCs w:val="22"/>
              </w:rPr>
              <w:t xml:space="preserve"> (</w:t>
            </w:r>
            <w:r w:rsidRPr="00224FD4">
              <w:rPr>
                <w:rFonts w:ascii="Calibri" w:eastAsia="Calibri" w:hAnsi="Calibri" w:cs="Calibri"/>
                <w:color w:val="000000"/>
                <w:sz w:val="22"/>
                <w:szCs w:val="22"/>
              </w:rPr>
              <w:t>0</w:t>
            </w:r>
            <w:r w:rsidR="00365340" w:rsidRPr="00224FD4">
              <w:rPr>
                <w:rFonts w:ascii="Calibri" w:eastAsia="Calibri" w:hAnsi="Calibri" w:cs="Calibri"/>
                <w:color w:val="000000"/>
                <w:sz w:val="22"/>
                <w:szCs w:val="22"/>
              </w:rPr>
              <w:t>%)</w:t>
            </w:r>
          </w:p>
        </w:tc>
        <w:tc>
          <w:tcPr>
            <w:tcW w:w="2410" w:type="dxa"/>
            <w:shd w:val="clear" w:color="auto" w:fill="F2DBDB" w:themeFill="accent2" w:themeFillTint="33"/>
          </w:tcPr>
          <w:p w:rsidR="00365340" w:rsidRPr="00224FD4" w:rsidRDefault="00122763" w:rsidP="0035034F">
            <w:pPr>
              <w:autoSpaceDE w:val="0"/>
              <w:autoSpaceDN w:val="0"/>
              <w:adjustRightInd w:val="0"/>
              <w:spacing w:before="60" w:after="60"/>
              <w:jc w:val="center"/>
              <w:rPr>
                <w:rFonts w:ascii="Calibri" w:eastAsia="Calibri" w:hAnsi="Calibri" w:cs="Calibri"/>
                <w:color w:val="000000"/>
                <w:sz w:val="22"/>
                <w:szCs w:val="22"/>
              </w:rPr>
            </w:pPr>
            <w:r w:rsidRPr="00224FD4">
              <w:rPr>
                <w:rFonts w:ascii="Calibri" w:eastAsia="Calibri" w:hAnsi="Calibri" w:cs="Calibri"/>
                <w:color w:val="000000"/>
                <w:sz w:val="22"/>
                <w:szCs w:val="22"/>
              </w:rPr>
              <w:t>0</w:t>
            </w:r>
            <w:r w:rsidR="00365340" w:rsidRPr="00224FD4">
              <w:rPr>
                <w:rFonts w:ascii="Calibri" w:eastAsia="Calibri" w:hAnsi="Calibri" w:cs="Calibri"/>
                <w:color w:val="000000"/>
                <w:sz w:val="22"/>
                <w:szCs w:val="22"/>
              </w:rPr>
              <w:t xml:space="preserve"> (</w:t>
            </w:r>
            <w:r w:rsidRPr="00224FD4">
              <w:rPr>
                <w:rFonts w:ascii="Calibri" w:eastAsia="Calibri" w:hAnsi="Calibri" w:cs="Calibri"/>
                <w:color w:val="000000"/>
                <w:sz w:val="22"/>
                <w:szCs w:val="22"/>
              </w:rPr>
              <w:t>0</w:t>
            </w:r>
            <w:r w:rsidR="00365340" w:rsidRPr="00224FD4">
              <w:rPr>
                <w:rFonts w:ascii="Calibri" w:eastAsia="Calibri" w:hAnsi="Calibri" w:cs="Calibri"/>
                <w:color w:val="000000"/>
                <w:sz w:val="22"/>
                <w:szCs w:val="22"/>
              </w:rPr>
              <w:t>%)</w:t>
            </w:r>
          </w:p>
        </w:tc>
      </w:tr>
    </w:tbl>
    <w:p w:rsidR="00365340" w:rsidRPr="00D812A6" w:rsidRDefault="00365340" w:rsidP="00365340">
      <w:pPr>
        <w:jc w:val="center"/>
        <w:rPr>
          <w:rFonts w:ascii="Calibri" w:hAnsi="Calibri" w:cs="Calibri"/>
          <w:b/>
          <w:sz w:val="8"/>
          <w:szCs w:val="8"/>
        </w:rPr>
      </w:pPr>
    </w:p>
    <w:p w:rsidR="00122763" w:rsidRDefault="00365340" w:rsidP="00365340">
      <w:pPr>
        <w:jc w:val="center"/>
        <w:rPr>
          <w:rFonts w:ascii="Calibri" w:hAnsi="Calibri" w:cs="Calibri"/>
          <w:sz w:val="20"/>
        </w:rPr>
      </w:pPr>
      <w:r>
        <w:rPr>
          <w:rFonts w:ascii="Calibri" w:hAnsi="Calibri" w:cs="Calibri"/>
          <w:b/>
          <w:sz w:val="20"/>
        </w:rPr>
        <w:t xml:space="preserve">Figure </w:t>
      </w:r>
      <w:r w:rsidR="008B306D">
        <w:rPr>
          <w:rFonts w:ascii="Calibri" w:hAnsi="Calibri" w:cs="Calibri"/>
          <w:b/>
          <w:sz w:val="20"/>
        </w:rPr>
        <w:t>21</w:t>
      </w:r>
      <w:r w:rsidRPr="005C674B">
        <w:rPr>
          <w:rFonts w:ascii="Calibri" w:hAnsi="Calibri" w:cs="Calibri"/>
          <w:sz w:val="20"/>
        </w:rPr>
        <w:t xml:space="preserve">: </w:t>
      </w:r>
      <w:r>
        <w:rPr>
          <w:rFonts w:ascii="Calibri" w:hAnsi="Calibri" w:cs="Calibri"/>
          <w:sz w:val="20"/>
        </w:rPr>
        <w:t xml:space="preserve">Summary of performance against </w:t>
      </w:r>
      <w:r w:rsidR="00122763">
        <w:rPr>
          <w:rFonts w:ascii="Calibri" w:hAnsi="Calibri" w:cs="Calibri"/>
          <w:sz w:val="20"/>
        </w:rPr>
        <w:t xml:space="preserve">strong, active </w:t>
      </w:r>
      <w:proofErr w:type="gramStart"/>
      <w:r w:rsidR="00122763">
        <w:rPr>
          <w:rFonts w:ascii="Calibri" w:hAnsi="Calibri" w:cs="Calibri"/>
          <w:sz w:val="20"/>
        </w:rPr>
        <w:t>communities</w:t>
      </w:r>
      <w:proofErr w:type="gramEnd"/>
      <w:r w:rsidR="00122763">
        <w:rPr>
          <w:rFonts w:ascii="Calibri" w:hAnsi="Calibri" w:cs="Calibri"/>
          <w:sz w:val="20"/>
        </w:rPr>
        <w:t xml:space="preserve"> indicators</w:t>
      </w:r>
      <w:r>
        <w:rPr>
          <w:rFonts w:ascii="Calibri" w:hAnsi="Calibri" w:cs="Calibri"/>
          <w:sz w:val="20"/>
        </w:rPr>
        <w:t xml:space="preserve"> in 2013/14 </w:t>
      </w:r>
    </w:p>
    <w:p w:rsidR="00365340" w:rsidRDefault="00365340" w:rsidP="002C0AAC">
      <w:pPr>
        <w:rPr>
          <w:rFonts w:ascii="Calibri" w:eastAsia="Calibri" w:hAnsi="Calibri" w:cs="Times New Roman"/>
          <w:sz w:val="22"/>
          <w:szCs w:val="22"/>
        </w:rPr>
      </w:pPr>
    </w:p>
    <w:p w:rsidR="00224FD4" w:rsidRPr="002C0AAC" w:rsidRDefault="00224FD4" w:rsidP="002C0AAC">
      <w:pPr>
        <w:rPr>
          <w:rFonts w:ascii="Calibri" w:eastAsia="Calibri" w:hAnsi="Calibri" w:cs="Times New Roman"/>
          <w:sz w:val="22"/>
          <w:szCs w:val="22"/>
        </w:rPr>
      </w:pPr>
    </w:p>
    <w:p w:rsidR="002C0AAC" w:rsidRDefault="00122763" w:rsidP="004335B5">
      <w:pPr>
        <w:pStyle w:val="ListParagraph"/>
        <w:numPr>
          <w:ilvl w:val="0"/>
          <w:numId w:val="6"/>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Figure </w:t>
      </w:r>
      <w:r w:rsidR="008B306D">
        <w:rPr>
          <w:rFonts w:ascii="Calibri" w:eastAsia="Calibri" w:hAnsi="Calibri" w:cs="Times New Roman"/>
          <w:sz w:val="22"/>
          <w:szCs w:val="22"/>
        </w:rPr>
        <w:t>21</w:t>
      </w:r>
      <w:r>
        <w:rPr>
          <w:rFonts w:ascii="Calibri" w:eastAsia="Calibri" w:hAnsi="Calibri" w:cs="Times New Roman"/>
          <w:sz w:val="22"/>
          <w:szCs w:val="22"/>
        </w:rPr>
        <w:t xml:space="preserve"> shows that </w:t>
      </w:r>
      <w:r w:rsidRPr="00224FD4">
        <w:rPr>
          <w:rFonts w:ascii="Calibri" w:eastAsia="Calibri" w:hAnsi="Calibri" w:cs="Times New Roman"/>
          <w:sz w:val="22"/>
          <w:szCs w:val="22"/>
        </w:rPr>
        <w:t>all</w:t>
      </w:r>
      <w:r>
        <w:rPr>
          <w:rFonts w:ascii="Calibri" w:eastAsia="Calibri" w:hAnsi="Calibri" w:cs="Times New Roman"/>
          <w:sz w:val="22"/>
          <w:szCs w:val="22"/>
        </w:rPr>
        <w:t xml:space="preserve"> the strong, active </w:t>
      </w:r>
      <w:proofErr w:type="gramStart"/>
      <w:r>
        <w:rPr>
          <w:rFonts w:ascii="Calibri" w:eastAsia="Calibri" w:hAnsi="Calibri" w:cs="Times New Roman"/>
          <w:sz w:val="22"/>
          <w:szCs w:val="22"/>
        </w:rPr>
        <w:t>communities</w:t>
      </w:r>
      <w:proofErr w:type="gramEnd"/>
      <w:r>
        <w:rPr>
          <w:rFonts w:ascii="Calibri" w:eastAsia="Calibri" w:hAnsi="Calibri" w:cs="Times New Roman"/>
          <w:sz w:val="22"/>
          <w:szCs w:val="22"/>
        </w:rPr>
        <w:t xml:space="preserve"> indicators either met their targets</w:t>
      </w:r>
      <w:r w:rsidR="00AC33B2">
        <w:rPr>
          <w:rFonts w:ascii="Calibri" w:eastAsia="Calibri" w:hAnsi="Calibri" w:cs="Times New Roman"/>
          <w:sz w:val="22"/>
          <w:szCs w:val="22"/>
        </w:rPr>
        <w:t>,</w:t>
      </w:r>
      <w:r>
        <w:rPr>
          <w:rFonts w:ascii="Calibri" w:eastAsia="Calibri" w:hAnsi="Calibri" w:cs="Times New Roman"/>
          <w:sz w:val="22"/>
          <w:szCs w:val="22"/>
        </w:rPr>
        <w:t xml:space="preserve"> or data demonstrated significant progress towards meeting targets</w:t>
      </w:r>
      <w:r w:rsidR="00AC33B2">
        <w:rPr>
          <w:rFonts w:ascii="Calibri" w:eastAsia="Calibri" w:hAnsi="Calibri" w:cs="Times New Roman"/>
          <w:sz w:val="22"/>
          <w:szCs w:val="22"/>
        </w:rPr>
        <w:t>,</w:t>
      </w:r>
      <w:r>
        <w:rPr>
          <w:rFonts w:ascii="Calibri" w:eastAsia="Calibri" w:hAnsi="Calibri" w:cs="Times New Roman"/>
          <w:sz w:val="22"/>
          <w:szCs w:val="22"/>
        </w:rPr>
        <w:t xml:space="preserve"> during the 2013/14 monitoring year. This is e</w:t>
      </w:r>
      <w:r w:rsidR="00AC33B2">
        <w:rPr>
          <w:rFonts w:ascii="Calibri" w:eastAsia="Calibri" w:hAnsi="Calibri" w:cs="Times New Roman"/>
          <w:sz w:val="22"/>
          <w:szCs w:val="22"/>
        </w:rPr>
        <w:t>xtremely positive and is a result of significant progress on a number of key projects:</w:t>
      </w:r>
    </w:p>
    <w:p w:rsidR="00AC33B2" w:rsidRDefault="00AC33B2" w:rsidP="00AC33B2">
      <w:pPr>
        <w:pStyle w:val="ListParagraph"/>
        <w:spacing w:after="200" w:line="276" w:lineRule="auto"/>
        <w:ind w:left="502"/>
        <w:jc w:val="both"/>
        <w:rPr>
          <w:rFonts w:ascii="Calibri" w:eastAsia="Calibri" w:hAnsi="Calibri" w:cs="Times New Roman"/>
          <w:sz w:val="22"/>
          <w:szCs w:val="22"/>
        </w:rPr>
      </w:pPr>
    </w:p>
    <w:p w:rsidR="002115E1" w:rsidRDefault="00AC33B2"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Refurbishment of Oxford’s tower blocks is scheduled to </w:t>
      </w:r>
      <w:r w:rsidR="002115E1">
        <w:rPr>
          <w:rFonts w:ascii="Calibri" w:eastAsia="Calibri" w:hAnsi="Calibri" w:cs="Times New Roman"/>
          <w:sz w:val="22"/>
          <w:szCs w:val="22"/>
        </w:rPr>
        <w:t>commence in 2015 following a large amount of</w:t>
      </w:r>
      <w:r>
        <w:rPr>
          <w:rFonts w:ascii="Calibri" w:eastAsia="Calibri" w:hAnsi="Calibri" w:cs="Times New Roman"/>
          <w:sz w:val="22"/>
          <w:szCs w:val="22"/>
        </w:rPr>
        <w:t xml:space="preserve"> </w:t>
      </w:r>
      <w:r w:rsidR="002115E1">
        <w:rPr>
          <w:rFonts w:ascii="Calibri" w:eastAsia="Calibri" w:hAnsi="Calibri" w:cs="Times New Roman"/>
          <w:sz w:val="22"/>
          <w:szCs w:val="22"/>
        </w:rPr>
        <w:t>p</w:t>
      </w:r>
      <w:r>
        <w:rPr>
          <w:rFonts w:ascii="Calibri" w:eastAsia="Calibri" w:hAnsi="Calibri" w:cs="Times New Roman"/>
          <w:sz w:val="22"/>
          <w:szCs w:val="22"/>
        </w:rPr>
        <w:t xml:space="preserve">ublic consultation and </w:t>
      </w:r>
      <w:r w:rsidR="002115E1">
        <w:rPr>
          <w:rFonts w:ascii="Calibri" w:eastAsia="Calibri" w:hAnsi="Calibri" w:cs="Times New Roman"/>
          <w:sz w:val="22"/>
          <w:szCs w:val="22"/>
        </w:rPr>
        <w:t xml:space="preserve">work on </w:t>
      </w:r>
      <w:r>
        <w:rPr>
          <w:rFonts w:ascii="Calibri" w:eastAsia="Calibri" w:hAnsi="Calibri" w:cs="Times New Roman"/>
          <w:sz w:val="22"/>
          <w:szCs w:val="22"/>
        </w:rPr>
        <w:t xml:space="preserve">detailed designs </w:t>
      </w:r>
      <w:r w:rsidR="002115E1">
        <w:rPr>
          <w:rFonts w:ascii="Calibri" w:eastAsia="Calibri" w:hAnsi="Calibri" w:cs="Times New Roman"/>
          <w:sz w:val="22"/>
          <w:szCs w:val="22"/>
        </w:rPr>
        <w:t>durin</w:t>
      </w:r>
      <w:r w:rsidR="00D14B12">
        <w:rPr>
          <w:rFonts w:ascii="Calibri" w:eastAsia="Calibri" w:hAnsi="Calibri" w:cs="Times New Roman"/>
          <w:sz w:val="22"/>
          <w:szCs w:val="22"/>
        </w:rPr>
        <w:t>g the monitoring year</w:t>
      </w:r>
      <w:r w:rsidR="002115E1">
        <w:rPr>
          <w:rFonts w:ascii="Calibri" w:eastAsia="Calibri" w:hAnsi="Calibri" w:cs="Times New Roman"/>
          <w:sz w:val="22"/>
          <w:szCs w:val="22"/>
        </w:rPr>
        <w:t xml:space="preserve">. This will help to improve the quality of life </w:t>
      </w:r>
      <w:r w:rsidR="00D14B12">
        <w:rPr>
          <w:rFonts w:ascii="Calibri" w:eastAsia="Calibri" w:hAnsi="Calibri" w:cs="Times New Roman"/>
          <w:sz w:val="22"/>
          <w:szCs w:val="22"/>
        </w:rPr>
        <w:t>of</w:t>
      </w:r>
      <w:r w:rsidR="002115E1">
        <w:rPr>
          <w:rFonts w:ascii="Calibri" w:eastAsia="Calibri" w:hAnsi="Calibri" w:cs="Times New Roman"/>
          <w:sz w:val="22"/>
          <w:szCs w:val="22"/>
        </w:rPr>
        <w:t xml:space="preserve"> residents, as well as improving both the tower blocks’ energy efficiency and physical appearance.</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AC33B2"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Work on Blackbirds Leys Leisure Centre, including the provision of a new swimming pool, is due to be completed by the end of 2014.</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2115E1" w:rsidRPr="002115E1"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Two neighbourhood forums were formally designated in January 2014, with a further application to designate the </w:t>
      </w:r>
      <w:proofErr w:type="spellStart"/>
      <w:r>
        <w:rPr>
          <w:rFonts w:ascii="Calibri" w:eastAsia="Calibri" w:hAnsi="Calibri" w:cs="Times New Roman"/>
          <w:sz w:val="22"/>
          <w:szCs w:val="22"/>
        </w:rPr>
        <w:t>Headington</w:t>
      </w:r>
      <w:proofErr w:type="spellEnd"/>
      <w:r>
        <w:rPr>
          <w:rFonts w:ascii="Calibri" w:eastAsia="Calibri" w:hAnsi="Calibri" w:cs="Times New Roman"/>
          <w:sz w:val="22"/>
          <w:szCs w:val="22"/>
        </w:rPr>
        <w:t xml:space="preserve"> Neighbourhood Forum expected to be considered during 2014/15. </w:t>
      </w:r>
      <w:r w:rsidRPr="002115E1">
        <w:rPr>
          <w:rFonts w:ascii="Calibri" w:eastAsia="Calibri" w:hAnsi="Calibri" w:cs="Times New Roman"/>
          <w:sz w:val="22"/>
          <w:szCs w:val="22"/>
        </w:rPr>
        <w:t>The designation of neighbourhood forums is the first step towards the creation of neighbourhood plans. Neighbourhood forums will now be spending time developing their neighbourhood plans.</w:t>
      </w:r>
      <w:r w:rsidRPr="002115E1">
        <w:rPr>
          <w:rFonts w:ascii="Calibri" w:eastAsia="Calibri" w:hAnsi="Calibri" w:cs="Times New Roman"/>
          <w:b/>
          <w:sz w:val="22"/>
          <w:szCs w:val="22"/>
        </w:rPr>
        <w:t xml:space="preserve"> </w:t>
      </w:r>
    </w:p>
    <w:p w:rsidR="002115E1" w:rsidRPr="002115E1" w:rsidRDefault="002115E1" w:rsidP="002115E1">
      <w:pPr>
        <w:pStyle w:val="ListParagraph"/>
        <w:spacing w:after="200" w:line="276" w:lineRule="auto"/>
        <w:ind w:left="993"/>
        <w:jc w:val="both"/>
        <w:rPr>
          <w:rFonts w:ascii="Calibri" w:eastAsia="Calibri" w:hAnsi="Calibri" w:cs="Times New Roman"/>
          <w:sz w:val="22"/>
          <w:szCs w:val="22"/>
        </w:rPr>
      </w:pPr>
    </w:p>
    <w:p w:rsidR="002115E1"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A </w:t>
      </w:r>
      <w:proofErr w:type="spellStart"/>
      <w:r>
        <w:rPr>
          <w:rFonts w:ascii="Calibri" w:eastAsia="Calibri" w:hAnsi="Calibri" w:cs="Times New Roman"/>
          <w:sz w:val="22"/>
          <w:szCs w:val="22"/>
        </w:rPr>
        <w:t>masterplan</w:t>
      </w:r>
      <w:proofErr w:type="spellEnd"/>
      <w:r>
        <w:rPr>
          <w:rFonts w:ascii="Calibri" w:eastAsia="Calibri" w:hAnsi="Calibri" w:cs="Times New Roman"/>
          <w:sz w:val="22"/>
          <w:szCs w:val="22"/>
        </w:rPr>
        <w:t xml:space="preserve"> has been produced for Oxford Station, and </w:t>
      </w:r>
      <w:r w:rsidRPr="002115E1">
        <w:rPr>
          <w:rFonts w:ascii="Calibri" w:eastAsia="Calibri" w:hAnsi="Calibri" w:cs="Times New Roman"/>
          <w:sz w:val="22"/>
          <w:szCs w:val="22"/>
        </w:rPr>
        <w:t xml:space="preserve">the project is expected to continue to make progress during 2014/15 with a public exhibition, architectural competition and </w:t>
      </w:r>
      <w:r w:rsidR="00D14B12">
        <w:rPr>
          <w:rFonts w:ascii="Calibri" w:eastAsia="Calibri" w:hAnsi="Calibri" w:cs="Times New Roman"/>
          <w:sz w:val="22"/>
          <w:szCs w:val="22"/>
        </w:rPr>
        <w:t xml:space="preserve">the </w:t>
      </w:r>
      <w:r w:rsidRPr="002115E1">
        <w:rPr>
          <w:rFonts w:ascii="Calibri" w:eastAsia="Calibri" w:hAnsi="Calibri" w:cs="Times New Roman"/>
          <w:sz w:val="22"/>
          <w:szCs w:val="22"/>
        </w:rPr>
        <w:t>establishment of funding.</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2115E1"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Work is expected to commence on public realm improvements at </w:t>
      </w:r>
      <w:proofErr w:type="spellStart"/>
      <w:r>
        <w:rPr>
          <w:rFonts w:ascii="Calibri" w:eastAsia="Calibri" w:hAnsi="Calibri" w:cs="Times New Roman"/>
          <w:sz w:val="22"/>
          <w:szCs w:val="22"/>
        </w:rPr>
        <w:t>Frideswide</w:t>
      </w:r>
      <w:proofErr w:type="spellEnd"/>
      <w:r>
        <w:rPr>
          <w:rFonts w:ascii="Calibri" w:eastAsia="Calibri" w:hAnsi="Calibri" w:cs="Times New Roman"/>
          <w:sz w:val="22"/>
          <w:szCs w:val="22"/>
        </w:rPr>
        <w:t xml:space="preserve"> Square in September 2014.</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2115E1"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The </w:t>
      </w:r>
      <w:proofErr w:type="spellStart"/>
      <w:r>
        <w:rPr>
          <w:rFonts w:ascii="Calibri" w:eastAsia="Calibri" w:hAnsi="Calibri" w:cs="Times New Roman"/>
          <w:sz w:val="22"/>
          <w:szCs w:val="22"/>
        </w:rPr>
        <w:t>Oxpens</w:t>
      </w:r>
      <w:proofErr w:type="spellEnd"/>
      <w:r>
        <w:rPr>
          <w:rFonts w:ascii="Calibri" w:eastAsia="Calibri" w:hAnsi="Calibri" w:cs="Times New Roman"/>
          <w:sz w:val="22"/>
          <w:szCs w:val="22"/>
        </w:rPr>
        <w:t xml:space="preserve"> </w:t>
      </w:r>
      <w:proofErr w:type="spellStart"/>
      <w:r>
        <w:rPr>
          <w:rFonts w:ascii="Calibri" w:eastAsia="Calibri" w:hAnsi="Calibri" w:cs="Times New Roman"/>
          <w:sz w:val="22"/>
          <w:szCs w:val="22"/>
        </w:rPr>
        <w:t>Masterplan</w:t>
      </w:r>
      <w:proofErr w:type="spellEnd"/>
      <w:r>
        <w:rPr>
          <w:rFonts w:ascii="Calibri" w:eastAsia="Calibri" w:hAnsi="Calibri" w:cs="Times New Roman"/>
          <w:sz w:val="22"/>
          <w:szCs w:val="22"/>
        </w:rPr>
        <w:t xml:space="preserve"> SPD was adopted in November 2013 and sets out a framework for the future development of this important, </w:t>
      </w:r>
      <w:r w:rsidR="003161C9">
        <w:rPr>
          <w:rFonts w:ascii="Calibri" w:eastAsia="Calibri" w:hAnsi="Calibri" w:cs="Times New Roman"/>
          <w:sz w:val="22"/>
          <w:szCs w:val="22"/>
        </w:rPr>
        <w:t>city centre</w:t>
      </w:r>
      <w:r>
        <w:rPr>
          <w:rFonts w:ascii="Calibri" w:eastAsia="Calibri" w:hAnsi="Calibri" w:cs="Times New Roman"/>
          <w:sz w:val="22"/>
          <w:szCs w:val="22"/>
        </w:rPr>
        <w:t xml:space="preserve"> site.</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2115E1" w:rsidRDefault="002115E1"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 xml:space="preserve">Outline permission was granted for the redevelopment of the Westgate Centre in March 2014, with a reserved matters application expected to be received in </w:t>
      </w:r>
      <w:r w:rsidR="00612E7F">
        <w:rPr>
          <w:rFonts w:ascii="Calibri" w:eastAsia="Calibri" w:hAnsi="Calibri" w:cs="Times New Roman"/>
          <w:sz w:val="22"/>
          <w:szCs w:val="22"/>
        </w:rPr>
        <w:t>September</w:t>
      </w:r>
      <w:r>
        <w:rPr>
          <w:rFonts w:ascii="Calibri" w:eastAsia="Calibri" w:hAnsi="Calibri" w:cs="Times New Roman"/>
          <w:sz w:val="22"/>
          <w:szCs w:val="22"/>
        </w:rPr>
        <w:t xml:space="preserve"> 2014. </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D14B12" w:rsidRPr="00D14B12" w:rsidRDefault="00D14B12" w:rsidP="004335B5">
      <w:pPr>
        <w:pStyle w:val="ListParagraph"/>
        <w:numPr>
          <w:ilvl w:val="0"/>
          <w:numId w:val="19"/>
        </w:numPr>
        <w:spacing w:after="200" w:line="276" w:lineRule="auto"/>
        <w:ind w:left="993" w:hanging="426"/>
        <w:jc w:val="both"/>
        <w:rPr>
          <w:rFonts w:ascii="Calibri" w:eastAsia="Calibri" w:hAnsi="Calibri" w:cs="Times New Roman"/>
          <w:sz w:val="22"/>
          <w:szCs w:val="22"/>
        </w:rPr>
      </w:pPr>
      <w:r>
        <w:rPr>
          <w:rFonts w:ascii="Calibri" w:eastAsia="Calibri" w:hAnsi="Calibri" w:cs="Times New Roman"/>
          <w:sz w:val="22"/>
          <w:szCs w:val="22"/>
        </w:rPr>
        <w:t>Outline planning permission was granted in September 2013 for a major residential development at Barton.</w:t>
      </w:r>
    </w:p>
    <w:p w:rsidR="002115E1" w:rsidRDefault="002115E1" w:rsidP="002115E1">
      <w:pPr>
        <w:pStyle w:val="ListParagraph"/>
        <w:spacing w:after="200" w:line="276" w:lineRule="auto"/>
        <w:ind w:left="993"/>
        <w:jc w:val="both"/>
        <w:rPr>
          <w:rFonts w:ascii="Calibri" w:eastAsia="Calibri" w:hAnsi="Calibri" w:cs="Times New Roman"/>
          <w:sz w:val="22"/>
          <w:szCs w:val="22"/>
        </w:rPr>
      </w:pPr>
    </w:p>
    <w:p w:rsidR="0084711C" w:rsidRDefault="0084711C" w:rsidP="00D14B12">
      <w:pPr>
        <w:spacing w:after="200" w:line="276" w:lineRule="auto"/>
        <w:jc w:val="both"/>
        <w:rPr>
          <w:rFonts w:ascii="Calibri" w:eastAsia="Calibri" w:hAnsi="Calibri" w:cs="Times New Roman"/>
          <w:sz w:val="22"/>
          <w:szCs w:val="22"/>
        </w:rPr>
      </w:pPr>
    </w:p>
    <w:p w:rsidR="008010B2" w:rsidRPr="00D14B12" w:rsidRDefault="00483A60" w:rsidP="00D14B12">
      <w:pPr>
        <w:spacing w:after="200" w:line="276" w:lineRule="auto"/>
        <w:jc w:val="both"/>
        <w:rPr>
          <w:rFonts w:ascii="Calibri" w:eastAsia="Calibri" w:hAnsi="Calibri" w:cs="Times New Roman"/>
          <w:sz w:val="22"/>
          <w:szCs w:val="22"/>
          <w:highlight w:val="yellow"/>
        </w:rPr>
      </w:pPr>
      <w:r w:rsidRPr="00483A6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60640" behindDoc="0" locked="0" layoutInCell="1" allowOverlap="1" wp14:anchorId="23DF8796" wp14:editId="5161519E">
                <wp:simplePos x="0" y="0"/>
                <wp:positionH relativeFrom="column">
                  <wp:posOffset>3420110</wp:posOffset>
                </wp:positionH>
                <wp:positionV relativeFrom="paragraph">
                  <wp:posOffset>-525145</wp:posOffset>
                </wp:positionV>
                <wp:extent cx="2427605" cy="3524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69" type="#_x0000_t202" style="position:absolute;left:0;text-align:left;margin-left:269.3pt;margin-top:-41.35pt;width:191.1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" fillcolor="window" stroked="f" strokeweight=".5pt">
                <v:textbo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8010B2" w:rsidRPr="000B530E">
        <w:rPr>
          <w:rFonts w:ascii="Calibri" w:eastAsia="Calibri" w:hAnsi="Calibri" w:cs="Calibri"/>
          <w:b/>
          <w:color w:val="3F4F21"/>
          <w:sz w:val="32"/>
          <w:szCs w:val="28"/>
        </w:rPr>
        <w:t>Cleaner Greener Oxford</w:t>
      </w:r>
    </w:p>
    <w:p w:rsidR="00807CDB" w:rsidRDefault="008010B2" w:rsidP="00A31762">
      <w:pPr>
        <w:rPr>
          <w:color w:val="632423" w:themeColor="accent2" w:themeShade="80"/>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04320" behindDoc="1" locked="0" layoutInCell="1" allowOverlap="1" wp14:anchorId="35C86614" wp14:editId="6400E9E0">
                <wp:simplePos x="0" y="0"/>
                <wp:positionH relativeFrom="column">
                  <wp:posOffset>-85725</wp:posOffset>
                </wp:positionH>
                <wp:positionV relativeFrom="paragraph">
                  <wp:posOffset>85090</wp:posOffset>
                </wp:positionV>
                <wp:extent cx="5866130" cy="1781175"/>
                <wp:effectExtent l="0" t="0" r="1270" b="9525"/>
                <wp:wrapNone/>
                <wp:docPr id="137" name="Rectangle 137"/>
                <wp:cNvGraphicFramePr/>
                <a:graphic xmlns:a="http://schemas.openxmlformats.org/drawingml/2006/main">
                  <a:graphicData uri="http://schemas.microsoft.com/office/word/2010/wordprocessingShape">
                    <wps:wsp>
                      <wps:cNvSpPr/>
                      <wps:spPr>
                        <a:xfrm>
                          <a:off x="0" y="0"/>
                          <a:ext cx="5866130" cy="178117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6.75pt;margin-top:6.7pt;width:461.9pt;height:14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" fillcolor="#c2d69b [1942]" stroked="f" strokeweight="2pt"/>
            </w:pict>
          </mc:Fallback>
        </mc:AlternateContent>
      </w:r>
    </w:p>
    <w:p w:rsidR="008010B2" w:rsidRPr="000B530E" w:rsidRDefault="008010B2" w:rsidP="008010B2">
      <w:pPr>
        <w:autoSpaceDE w:val="0"/>
        <w:autoSpaceDN w:val="0"/>
        <w:adjustRightInd w:val="0"/>
        <w:jc w:val="both"/>
        <w:rPr>
          <w:rFonts w:ascii="Calibri" w:eastAsia="Calibri" w:hAnsi="Calibri" w:cs="Calibri"/>
          <w:color w:val="3F4F21"/>
        </w:rPr>
      </w:pPr>
      <w:r w:rsidRPr="000B530E">
        <w:rPr>
          <w:rFonts w:ascii="Calibri" w:eastAsia="Calibri" w:hAnsi="Calibri" w:cs="Calibri"/>
          <w:b/>
          <w:color w:val="3F4F21"/>
        </w:rPr>
        <w:t>Indicator 22: CHANGES IN AREAS OF BIODIVERSITY IMPORTANCE</w:t>
      </w:r>
    </w:p>
    <w:p w:rsidR="008010B2" w:rsidRPr="000B530E" w:rsidRDefault="008010B2" w:rsidP="008010B2">
      <w:pPr>
        <w:autoSpaceDE w:val="0"/>
        <w:autoSpaceDN w:val="0"/>
        <w:adjustRightInd w:val="0"/>
        <w:jc w:val="both"/>
        <w:rPr>
          <w:rFonts w:ascii="Calibri" w:eastAsia="Calibri" w:hAnsi="Calibri" w:cs="Calibri"/>
          <w:b/>
          <w:color w:val="3F4F21"/>
          <w:sz w:val="10"/>
          <w:szCs w:val="22"/>
        </w:rPr>
      </w:pPr>
    </w:p>
    <w:p w:rsidR="008010B2" w:rsidRPr="00EC00D8" w:rsidRDefault="008010B2" w:rsidP="008010B2">
      <w:pPr>
        <w:autoSpaceDE w:val="0"/>
        <w:autoSpaceDN w:val="0"/>
        <w:adjustRightInd w:val="0"/>
        <w:jc w:val="both"/>
        <w:rPr>
          <w:rFonts w:ascii="Calibri" w:eastAsia="Calibri" w:hAnsi="Calibri" w:cs="Calibri"/>
          <w:b/>
          <w:color w:val="984806" w:themeColor="accent6" w:themeShade="80"/>
          <w:sz w:val="22"/>
          <w:szCs w:val="22"/>
        </w:rPr>
      </w:pPr>
      <w:r w:rsidRPr="000B530E">
        <w:rPr>
          <w:rFonts w:ascii="Calibri" w:eastAsia="Calibri" w:hAnsi="Calibri" w:cs="Calibri"/>
          <w:b/>
          <w:color w:val="3F4F21"/>
          <w:sz w:val="22"/>
          <w:szCs w:val="22"/>
        </w:rPr>
        <w:t>Target: No net reduction in areas designated for their intrinsic environmental value i.e. SAC, SSSI, RIGS and locally desig</w:t>
      </w:r>
      <w:r w:rsidR="00EC00D8">
        <w:rPr>
          <w:rFonts w:ascii="Calibri" w:eastAsia="Calibri" w:hAnsi="Calibri" w:cs="Calibri"/>
          <w:b/>
          <w:color w:val="3F4F21"/>
          <w:sz w:val="22"/>
          <w:szCs w:val="22"/>
        </w:rPr>
        <w:t>nated sites</w:t>
      </w:r>
      <w:r w:rsidR="00A234AB">
        <w:rPr>
          <w:rFonts w:ascii="Calibri" w:eastAsia="Calibri" w:hAnsi="Calibri" w:cs="Calibri"/>
          <w:color w:val="4F6228" w:themeColor="accent3" w:themeShade="80"/>
          <w:sz w:val="20"/>
          <w:szCs w:val="22"/>
        </w:rPr>
        <w:t xml:space="preserve"> (Oxford Core Strategy</w:t>
      </w:r>
      <w:r w:rsidR="00EC00D8" w:rsidRPr="00EC00D8">
        <w:rPr>
          <w:rFonts w:ascii="Calibri" w:eastAsia="Calibri" w:hAnsi="Calibri" w:cs="Calibri"/>
          <w:color w:val="4F6228" w:themeColor="accent3" w:themeShade="80"/>
          <w:sz w:val="20"/>
          <w:szCs w:val="22"/>
        </w:rPr>
        <w:t xml:space="preserve"> Policy CS</w:t>
      </w:r>
      <w:r w:rsidR="00EC00D8">
        <w:rPr>
          <w:rFonts w:ascii="Calibri" w:eastAsia="Calibri" w:hAnsi="Calibri" w:cs="Calibri"/>
          <w:color w:val="4F6228" w:themeColor="accent3" w:themeShade="80"/>
          <w:sz w:val="20"/>
          <w:szCs w:val="22"/>
        </w:rPr>
        <w:t>12</w:t>
      </w:r>
      <w:r w:rsidR="00EC00D8" w:rsidRPr="00EC00D8">
        <w:rPr>
          <w:rFonts w:ascii="Calibri" w:eastAsia="Calibri" w:hAnsi="Calibri" w:cs="Calibri"/>
          <w:color w:val="4F6228" w:themeColor="accent3" w:themeShade="80"/>
          <w:sz w:val="20"/>
          <w:szCs w:val="22"/>
        </w:rPr>
        <w:t>)</w:t>
      </w:r>
    </w:p>
    <w:p w:rsidR="008010B2" w:rsidRPr="000B530E" w:rsidRDefault="008010B2" w:rsidP="008010B2">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8010B2" w:rsidRPr="000B530E" w:rsidTr="00080674">
        <w:trPr>
          <w:trHeight w:val="218"/>
        </w:trPr>
        <w:tc>
          <w:tcPr>
            <w:tcW w:w="5420" w:type="dxa"/>
          </w:tcPr>
          <w:p w:rsidR="008010B2" w:rsidRPr="000B530E" w:rsidRDefault="008010B2"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8010B2" w:rsidRPr="000B530E" w:rsidRDefault="008010B2"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8010B2" w:rsidRPr="000B530E" w:rsidTr="00080674">
        <w:tc>
          <w:tcPr>
            <w:tcW w:w="5420" w:type="dxa"/>
            <w:vMerge w:val="restart"/>
          </w:tcPr>
          <w:p w:rsidR="008010B2" w:rsidRPr="000B530E" w:rsidRDefault="008010B2" w:rsidP="00080674">
            <w:pPr>
              <w:autoSpaceDE w:val="0"/>
              <w:autoSpaceDN w:val="0"/>
              <w:adjustRightInd w:val="0"/>
              <w:jc w:val="center"/>
              <w:rPr>
                <w:rFonts w:ascii="Calibri" w:eastAsia="Calibri" w:hAnsi="Calibri" w:cs="Calibri"/>
                <w:b/>
                <w:color w:val="3F4F21"/>
                <w:sz w:val="8"/>
                <w:szCs w:val="8"/>
              </w:rPr>
            </w:pPr>
          </w:p>
          <w:p w:rsidR="008010B2" w:rsidRPr="000B530E" w:rsidRDefault="00D2579E"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121923B3" wp14:editId="697B3E06">
                  <wp:extent cx="1666875" cy="501917"/>
                  <wp:effectExtent l="0" t="0" r="0" b="0"/>
                  <wp:docPr id="231" name="Picture 23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8010B2" w:rsidRPr="000B530E" w:rsidRDefault="008010B2"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8010B2" w:rsidRPr="000B530E" w:rsidRDefault="008010B2"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38076EA1" wp14:editId="102BF966">
                  <wp:extent cx="1085850" cy="326964"/>
                  <wp:effectExtent l="0" t="0" r="0" b="0"/>
                  <wp:docPr id="138" name="Picture 13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8010B2" w:rsidRPr="000B530E" w:rsidRDefault="008010B2" w:rsidP="00080674">
            <w:pPr>
              <w:autoSpaceDE w:val="0"/>
              <w:autoSpaceDN w:val="0"/>
              <w:adjustRightInd w:val="0"/>
              <w:jc w:val="center"/>
              <w:rPr>
                <w:rFonts w:ascii="Calibri" w:eastAsia="Calibri" w:hAnsi="Calibri" w:cs="Calibri"/>
                <w:b/>
                <w:color w:val="3F4F21"/>
                <w:sz w:val="8"/>
                <w:szCs w:val="8"/>
              </w:rPr>
            </w:pPr>
          </w:p>
        </w:tc>
      </w:tr>
      <w:tr w:rsidR="000B530E" w:rsidRPr="000B530E" w:rsidTr="00080674">
        <w:tc>
          <w:tcPr>
            <w:tcW w:w="5420" w:type="dxa"/>
            <w:vMerge/>
          </w:tcPr>
          <w:p w:rsidR="008010B2" w:rsidRPr="000B530E" w:rsidRDefault="008010B2" w:rsidP="00080674">
            <w:pPr>
              <w:autoSpaceDE w:val="0"/>
              <w:autoSpaceDN w:val="0"/>
              <w:adjustRightInd w:val="0"/>
              <w:jc w:val="center"/>
              <w:rPr>
                <w:rFonts w:ascii="Calibri" w:eastAsia="Calibri" w:hAnsi="Calibri" w:cs="Calibri"/>
                <w:b/>
                <w:color w:val="3F4F21"/>
                <w:sz w:val="22"/>
                <w:szCs w:val="22"/>
              </w:rPr>
            </w:pPr>
          </w:p>
        </w:tc>
        <w:tc>
          <w:tcPr>
            <w:tcW w:w="1101" w:type="dxa"/>
          </w:tcPr>
          <w:p w:rsidR="008010B2" w:rsidRPr="000B530E" w:rsidRDefault="008010B2"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8010B2" w:rsidRPr="000B530E" w:rsidRDefault="008010B2"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020B688B" wp14:editId="0AB64F9A">
                  <wp:extent cx="1085850" cy="326964"/>
                  <wp:effectExtent l="0" t="0" r="0" b="0"/>
                  <wp:docPr id="139" name="Picture 13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497A88" w:rsidRDefault="00497A88" w:rsidP="00A31762">
      <w:pPr>
        <w:rPr>
          <w:color w:val="632423" w:themeColor="accent2" w:themeShade="80"/>
          <w:sz w:val="22"/>
          <w:szCs w:val="22"/>
        </w:rPr>
      </w:pPr>
    </w:p>
    <w:p w:rsidR="006D60DF" w:rsidRPr="00D2579E" w:rsidRDefault="008B306D"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Figure 22</w:t>
      </w:r>
      <w:r w:rsidR="00270458">
        <w:rPr>
          <w:rFonts w:ascii="Calibri" w:eastAsia="Calibri" w:hAnsi="Calibri" w:cs="Times New Roman"/>
          <w:sz w:val="22"/>
          <w:szCs w:val="22"/>
        </w:rPr>
        <w:t xml:space="preserve"> provides details of the </w:t>
      </w:r>
      <w:r w:rsidR="000B2357">
        <w:rPr>
          <w:rFonts w:ascii="Calibri" w:eastAsia="Calibri" w:hAnsi="Calibri" w:cs="Times New Roman"/>
          <w:sz w:val="22"/>
          <w:szCs w:val="22"/>
        </w:rPr>
        <w:t xml:space="preserve">various categories of sites designated for their intrinsic environmental importance in Oxford. </w:t>
      </w:r>
      <w:r w:rsidR="000B2357" w:rsidRPr="00D2579E">
        <w:rPr>
          <w:rFonts w:ascii="Calibri" w:eastAsia="Calibri" w:hAnsi="Calibri" w:cs="Times New Roman"/>
          <w:sz w:val="22"/>
          <w:szCs w:val="22"/>
        </w:rPr>
        <w:t xml:space="preserve">It shows that </w:t>
      </w:r>
      <w:r w:rsidR="00840D9F" w:rsidRPr="00D2579E">
        <w:rPr>
          <w:rFonts w:ascii="Calibri" w:eastAsia="Calibri" w:hAnsi="Calibri" w:cs="Times New Roman"/>
          <w:sz w:val="22"/>
          <w:szCs w:val="22"/>
        </w:rPr>
        <w:t>in 2013/14 the</w:t>
      </w:r>
      <w:r w:rsidR="00D2579E">
        <w:rPr>
          <w:rFonts w:ascii="Calibri" w:eastAsia="Calibri" w:hAnsi="Calibri" w:cs="Times New Roman"/>
          <w:sz w:val="22"/>
          <w:szCs w:val="22"/>
        </w:rPr>
        <w:t xml:space="preserve">re was </w:t>
      </w:r>
      <w:r w:rsidR="00270458">
        <w:rPr>
          <w:rFonts w:ascii="Calibri" w:eastAsia="Calibri" w:hAnsi="Calibri" w:cs="Times New Roman"/>
          <w:sz w:val="22"/>
          <w:szCs w:val="22"/>
        </w:rPr>
        <w:t>no</w:t>
      </w:r>
      <w:r w:rsidR="00D2579E">
        <w:rPr>
          <w:rFonts w:ascii="Calibri" w:eastAsia="Calibri" w:hAnsi="Calibri" w:cs="Times New Roman"/>
          <w:sz w:val="22"/>
          <w:szCs w:val="22"/>
        </w:rPr>
        <w:t xml:space="preserve"> change in the area of any of these designated sites.</w:t>
      </w: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3085"/>
        <w:gridCol w:w="1539"/>
        <w:gridCol w:w="1539"/>
        <w:gridCol w:w="1539"/>
        <w:gridCol w:w="1540"/>
      </w:tblGrid>
      <w:tr w:rsidR="00FC00F7" w:rsidTr="00B43422">
        <w:tc>
          <w:tcPr>
            <w:tcW w:w="3085" w:type="dxa"/>
            <w:shd w:val="clear" w:color="auto" w:fill="D6E3BC" w:themeFill="accent3" w:themeFillTint="66"/>
          </w:tcPr>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b/>
                <w:color w:val="404040" w:themeColor="text1" w:themeTint="BF"/>
                <w:sz w:val="20"/>
                <w:szCs w:val="22"/>
              </w:rPr>
              <w:t>Designation</w:t>
            </w:r>
          </w:p>
        </w:tc>
        <w:tc>
          <w:tcPr>
            <w:tcW w:w="1539" w:type="dxa"/>
            <w:shd w:val="clear" w:color="auto" w:fill="D6E3BC" w:themeFill="accent3" w:themeFillTint="66"/>
          </w:tcPr>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b/>
                <w:color w:val="404040" w:themeColor="text1" w:themeTint="BF"/>
                <w:sz w:val="20"/>
                <w:szCs w:val="22"/>
              </w:rPr>
              <w:t>2011/12</w:t>
            </w:r>
          </w:p>
          <w:p w:rsidR="00FC00F7" w:rsidRPr="00BB10D6" w:rsidRDefault="00FC00F7" w:rsidP="00FC00F7">
            <w:pPr>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(Area - ha)</w:t>
            </w:r>
          </w:p>
        </w:tc>
        <w:tc>
          <w:tcPr>
            <w:tcW w:w="1539" w:type="dxa"/>
            <w:shd w:val="clear" w:color="auto" w:fill="D6E3BC" w:themeFill="accent3" w:themeFillTint="66"/>
          </w:tcPr>
          <w:p w:rsidR="00FC00F7" w:rsidRPr="00BB10D6" w:rsidRDefault="00BB10D6" w:rsidP="00FC00F7">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2012/13</w:t>
            </w:r>
          </w:p>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color w:val="404040" w:themeColor="text1" w:themeTint="BF"/>
                <w:sz w:val="20"/>
                <w:szCs w:val="22"/>
              </w:rPr>
              <w:t>(Area - ha)</w:t>
            </w:r>
          </w:p>
        </w:tc>
        <w:tc>
          <w:tcPr>
            <w:tcW w:w="1539" w:type="dxa"/>
            <w:shd w:val="clear" w:color="auto" w:fill="D6E3BC" w:themeFill="accent3" w:themeFillTint="66"/>
          </w:tcPr>
          <w:p w:rsidR="00FC00F7" w:rsidRPr="00BB10D6" w:rsidRDefault="00BB10D6" w:rsidP="00FC00F7">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2013/14</w:t>
            </w:r>
          </w:p>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color w:val="404040" w:themeColor="text1" w:themeTint="BF"/>
                <w:sz w:val="20"/>
                <w:szCs w:val="22"/>
              </w:rPr>
              <w:t>(Area - ha)</w:t>
            </w:r>
          </w:p>
        </w:tc>
        <w:tc>
          <w:tcPr>
            <w:tcW w:w="1540" w:type="dxa"/>
            <w:shd w:val="clear" w:color="auto" w:fill="D6E3BC" w:themeFill="accent3" w:themeFillTint="66"/>
          </w:tcPr>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b/>
                <w:color w:val="404040" w:themeColor="text1" w:themeTint="BF"/>
                <w:sz w:val="20"/>
                <w:szCs w:val="22"/>
              </w:rPr>
              <w:t>Change</w:t>
            </w:r>
          </w:p>
          <w:p w:rsidR="00FC00F7" w:rsidRPr="00BB10D6" w:rsidRDefault="00FC00F7" w:rsidP="00FC00F7">
            <w:pPr>
              <w:jc w:val="center"/>
              <w:rPr>
                <w:rFonts w:ascii="Calibri" w:eastAsia="Calibri" w:hAnsi="Calibri" w:cs="Times New Roman"/>
                <w:b/>
                <w:color w:val="404040" w:themeColor="text1" w:themeTint="BF"/>
                <w:sz w:val="20"/>
                <w:szCs w:val="22"/>
              </w:rPr>
            </w:pPr>
            <w:r w:rsidRPr="00BB10D6">
              <w:rPr>
                <w:rFonts w:ascii="Calibri" w:eastAsia="Calibri" w:hAnsi="Calibri" w:cs="Times New Roman"/>
                <w:color w:val="404040" w:themeColor="text1" w:themeTint="BF"/>
                <w:sz w:val="20"/>
                <w:szCs w:val="22"/>
              </w:rPr>
              <w:t xml:space="preserve"> (Area - ha)</w:t>
            </w:r>
          </w:p>
        </w:tc>
      </w:tr>
      <w:tr w:rsidR="00FC00F7" w:rsidTr="00B43422">
        <w:tc>
          <w:tcPr>
            <w:tcW w:w="3085" w:type="dxa"/>
          </w:tcPr>
          <w:p w:rsidR="00112389" w:rsidRPr="00F54F5C" w:rsidRDefault="00FC00F7" w:rsidP="00B136C7">
            <w:pPr>
              <w:spacing w:before="120" w:after="120"/>
              <w:rPr>
                <w:rFonts w:ascii="Calibri" w:eastAsia="Calibri" w:hAnsi="Calibri" w:cs="Times New Roman"/>
                <w:color w:val="404040" w:themeColor="text1" w:themeTint="BF"/>
                <w:sz w:val="20"/>
                <w:szCs w:val="22"/>
              </w:rPr>
            </w:pPr>
            <w:r w:rsidRPr="00BB10D6">
              <w:rPr>
                <w:rFonts w:ascii="Calibri" w:eastAsia="Calibri" w:hAnsi="Calibri" w:cs="Times New Roman"/>
                <w:b/>
                <w:color w:val="404040" w:themeColor="text1" w:themeTint="BF"/>
                <w:sz w:val="20"/>
                <w:szCs w:val="22"/>
              </w:rPr>
              <w:t>Sites of Special Scientific Interest (SSSI)</w:t>
            </w:r>
            <w:r w:rsidR="00112389">
              <w:rPr>
                <w:rFonts w:ascii="Calibri" w:eastAsia="Calibri" w:hAnsi="Calibri" w:cs="Times New Roman"/>
                <w:b/>
                <w:color w:val="404040" w:themeColor="text1" w:themeTint="BF"/>
                <w:sz w:val="20"/>
                <w:szCs w:val="22"/>
              </w:rPr>
              <w:t xml:space="preserve"> </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278.24</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278.24</w:t>
            </w:r>
          </w:p>
        </w:tc>
        <w:tc>
          <w:tcPr>
            <w:tcW w:w="1539" w:type="dxa"/>
            <w:shd w:val="clear" w:color="auto" w:fill="FFFFFF" w:themeFill="background1"/>
          </w:tcPr>
          <w:p w:rsidR="00FC00F7" w:rsidRPr="00B43422" w:rsidRDefault="00112389" w:rsidP="00112389">
            <w:pPr>
              <w:spacing w:before="120" w:after="120"/>
              <w:jc w:val="center"/>
              <w:rPr>
                <w:rFonts w:ascii="Calibri" w:eastAsia="Calibri" w:hAnsi="Calibri" w:cs="Times New Roman"/>
                <w:color w:val="404040" w:themeColor="text1" w:themeTint="BF"/>
                <w:sz w:val="20"/>
                <w:szCs w:val="22"/>
              </w:rPr>
            </w:pPr>
            <w:r w:rsidRPr="00B43422">
              <w:rPr>
                <w:rFonts w:ascii="Calibri" w:eastAsia="Calibri" w:hAnsi="Calibri" w:cs="Times New Roman"/>
                <w:color w:val="404040" w:themeColor="text1" w:themeTint="BF"/>
                <w:sz w:val="20"/>
                <w:szCs w:val="22"/>
              </w:rPr>
              <w:t>278.24</w:t>
            </w:r>
          </w:p>
        </w:tc>
        <w:tc>
          <w:tcPr>
            <w:tcW w:w="1540" w:type="dxa"/>
            <w:shd w:val="clear" w:color="auto" w:fill="FFFFFF" w:themeFill="background1"/>
          </w:tcPr>
          <w:p w:rsidR="00FC00F7" w:rsidRPr="00B43422" w:rsidRDefault="00112389" w:rsidP="00112389">
            <w:pPr>
              <w:spacing w:before="120" w:after="120"/>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No change</w:t>
            </w:r>
          </w:p>
        </w:tc>
      </w:tr>
      <w:tr w:rsidR="00FC00F7" w:rsidTr="00B43422">
        <w:tc>
          <w:tcPr>
            <w:tcW w:w="3085" w:type="dxa"/>
          </w:tcPr>
          <w:p w:rsidR="00FC00F7" w:rsidRPr="00F54F5C" w:rsidRDefault="00FC00F7" w:rsidP="00B136C7">
            <w:pPr>
              <w:spacing w:before="120" w:after="120"/>
              <w:rPr>
                <w:rFonts w:ascii="Calibri" w:eastAsia="Calibri" w:hAnsi="Calibri" w:cs="Times New Roman"/>
                <w:color w:val="404040" w:themeColor="text1" w:themeTint="BF"/>
                <w:sz w:val="20"/>
                <w:szCs w:val="22"/>
              </w:rPr>
            </w:pPr>
            <w:r w:rsidRPr="00BB10D6">
              <w:rPr>
                <w:rFonts w:ascii="Calibri" w:eastAsia="Calibri" w:hAnsi="Calibri" w:cs="Times New Roman"/>
                <w:b/>
                <w:color w:val="404040" w:themeColor="text1" w:themeTint="BF"/>
                <w:sz w:val="20"/>
                <w:szCs w:val="22"/>
              </w:rPr>
              <w:t>Special Areas of Conservation (SACs)</w:t>
            </w:r>
            <w:r w:rsidR="00F54F5C">
              <w:rPr>
                <w:rFonts w:ascii="Calibri" w:eastAsia="Calibri" w:hAnsi="Calibri" w:cs="Times New Roman"/>
                <w:color w:val="404040" w:themeColor="text1" w:themeTint="BF"/>
                <w:sz w:val="20"/>
                <w:szCs w:val="22"/>
              </w:rPr>
              <w:t xml:space="preserve"> </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177.1</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177.1</w:t>
            </w:r>
          </w:p>
        </w:tc>
        <w:tc>
          <w:tcPr>
            <w:tcW w:w="1539" w:type="dxa"/>
            <w:shd w:val="clear" w:color="auto" w:fill="FFFFFF" w:themeFill="background1"/>
          </w:tcPr>
          <w:p w:rsidR="00FC00F7" w:rsidRPr="00B43422" w:rsidRDefault="00F54F5C" w:rsidP="00112389">
            <w:pPr>
              <w:spacing w:before="120" w:after="120"/>
              <w:jc w:val="center"/>
              <w:rPr>
                <w:rFonts w:ascii="Calibri" w:eastAsia="Calibri" w:hAnsi="Calibri" w:cs="Times New Roman"/>
                <w:color w:val="404040" w:themeColor="text1" w:themeTint="BF"/>
                <w:sz w:val="20"/>
                <w:szCs w:val="22"/>
              </w:rPr>
            </w:pPr>
            <w:r w:rsidRPr="00B43422">
              <w:rPr>
                <w:rFonts w:ascii="Calibri" w:eastAsia="Calibri" w:hAnsi="Calibri" w:cs="Times New Roman"/>
                <w:color w:val="404040" w:themeColor="text1" w:themeTint="BF"/>
                <w:sz w:val="20"/>
                <w:szCs w:val="22"/>
              </w:rPr>
              <w:t>177.1</w:t>
            </w:r>
          </w:p>
        </w:tc>
        <w:tc>
          <w:tcPr>
            <w:tcW w:w="1540" w:type="dxa"/>
            <w:shd w:val="clear" w:color="auto" w:fill="FFFFFF" w:themeFill="background1"/>
          </w:tcPr>
          <w:p w:rsidR="00FC00F7" w:rsidRPr="00B43422" w:rsidRDefault="00F54F5C" w:rsidP="00112389">
            <w:pPr>
              <w:spacing w:before="120" w:after="120"/>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No change</w:t>
            </w:r>
          </w:p>
        </w:tc>
      </w:tr>
      <w:tr w:rsidR="00FC00F7" w:rsidRPr="00B136C7" w:rsidTr="00B43422">
        <w:tc>
          <w:tcPr>
            <w:tcW w:w="3085" w:type="dxa"/>
          </w:tcPr>
          <w:p w:rsidR="00FC00F7" w:rsidRPr="00F61B80" w:rsidRDefault="00112389" w:rsidP="00B136C7">
            <w:pPr>
              <w:spacing w:before="120" w:after="120"/>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Local Wildlife Sites</w:t>
            </w:r>
            <w:r w:rsidR="00F61B80">
              <w:rPr>
                <w:rFonts w:ascii="Calibri" w:eastAsia="Calibri" w:hAnsi="Calibri" w:cs="Times New Roman"/>
                <w:b/>
                <w:color w:val="404040" w:themeColor="text1" w:themeTint="BF"/>
                <w:sz w:val="20"/>
                <w:szCs w:val="22"/>
              </w:rPr>
              <w:t xml:space="preserve"> </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125.44</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125.44</w:t>
            </w:r>
          </w:p>
        </w:tc>
        <w:tc>
          <w:tcPr>
            <w:tcW w:w="1539" w:type="dxa"/>
            <w:shd w:val="clear" w:color="auto" w:fill="FFFFFF" w:themeFill="background1"/>
          </w:tcPr>
          <w:p w:rsidR="00FC00F7" w:rsidRPr="00B43422" w:rsidRDefault="00B136C7" w:rsidP="00112389">
            <w:pPr>
              <w:spacing w:before="120" w:after="120"/>
              <w:jc w:val="center"/>
              <w:rPr>
                <w:rFonts w:ascii="Calibri" w:eastAsia="Calibri" w:hAnsi="Calibri" w:cs="Times New Roman"/>
                <w:color w:val="404040" w:themeColor="text1" w:themeTint="BF"/>
                <w:sz w:val="20"/>
                <w:szCs w:val="22"/>
                <w:highlight w:val="yellow"/>
              </w:rPr>
            </w:pPr>
            <w:r w:rsidRPr="00B43422">
              <w:rPr>
                <w:rFonts w:ascii="Calibri" w:eastAsia="Calibri" w:hAnsi="Calibri" w:cs="Times New Roman"/>
                <w:color w:val="404040" w:themeColor="text1" w:themeTint="BF"/>
                <w:sz w:val="20"/>
                <w:szCs w:val="22"/>
              </w:rPr>
              <w:t>125.44</w:t>
            </w:r>
          </w:p>
        </w:tc>
        <w:tc>
          <w:tcPr>
            <w:tcW w:w="1540" w:type="dxa"/>
            <w:shd w:val="clear" w:color="auto" w:fill="FFFFFF" w:themeFill="background1"/>
          </w:tcPr>
          <w:p w:rsidR="00FC00F7" w:rsidRPr="00B43422" w:rsidRDefault="00B136C7" w:rsidP="00112389">
            <w:pPr>
              <w:spacing w:before="120" w:after="120"/>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No change</w:t>
            </w:r>
          </w:p>
        </w:tc>
      </w:tr>
      <w:tr w:rsidR="00FC00F7" w:rsidTr="00B43422">
        <w:tc>
          <w:tcPr>
            <w:tcW w:w="3085" w:type="dxa"/>
          </w:tcPr>
          <w:p w:rsidR="00FC00F7" w:rsidRPr="00F61B80" w:rsidRDefault="00FC00F7" w:rsidP="00B136C7">
            <w:pPr>
              <w:spacing w:before="120" w:after="120"/>
              <w:rPr>
                <w:rFonts w:ascii="Calibri" w:eastAsia="Calibri" w:hAnsi="Calibri" w:cs="Times New Roman"/>
                <w:color w:val="404040" w:themeColor="text1" w:themeTint="BF"/>
                <w:sz w:val="20"/>
                <w:szCs w:val="22"/>
              </w:rPr>
            </w:pPr>
            <w:r w:rsidRPr="00BB10D6">
              <w:rPr>
                <w:rFonts w:ascii="Calibri" w:eastAsia="Calibri" w:hAnsi="Calibri" w:cs="Times New Roman"/>
                <w:b/>
                <w:color w:val="404040" w:themeColor="text1" w:themeTint="BF"/>
                <w:sz w:val="20"/>
                <w:szCs w:val="22"/>
              </w:rPr>
              <w:t>Sites of Local Interest for Nature Conservation (SLINCs)</w:t>
            </w:r>
            <w:r w:rsidR="00F61B80">
              <w:rPr>
                <w:rFonts w:ascii="Calibri" w:eastAsia="Calibri" w:hAnsi="Calibri" w:cs="Times New Roman"/>
                <w:b/>
                <w:color w:val="404040" w:themeColor="text1" w:themeTint="BF"/>
                <w:sz w:val="20"/>
                <w:szCs w:val="22"/>
              </w:rPr>
              <w:t xml:space="preserve"> </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202.5</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202.5</w:t>
            </w:r>
          </w:p>
        </w:tc>
        <w:tc>
          <w:tcPr>
            <w:tcW w:w="1539" w:type="dxa"/>
            <w:shd w:val="clear" w:color="auto" w:fill="FFFFFF" w:themeFill="background1"/>
          </w:tcPr>
          <w:p w:rsidR="00FC00F7" w:rsidRPr="00B43422" w:rsidRDefault="00B136C7" w:rsidP="00112389">
            <w:pPr>
              <w:spacing w:before="120" w:after="120"/>
              <w:jc w:val="center"/>
              <w:rPr>
                <w:rFonts w:ascii="Calibri" w:eastAsia="Calibri" w:hAnsi="Calibri" w:cs="Times New Roman"/>
                <w:color w:val="404040" w:themeColor="text1" w:themeTint="BF"/>
                <w:sz w:val="20"/>
                <w:szCs w:val="22"/>
              </w:rPr>
            </w:pPr>
            <w:r w:rsidRPr="00B43422">
              <w:rPr>
                <w:rFonts w:ascii="Calibri" w:eastAsia="Calibri" w:hAnsi="Calibri" w:cs="Times New Roman"/>
                <w:color w:val="404040" w:themeColor="text1" w:themeTint="BF"/>
                <w:sz w:val="20"/>
                <w:szCs w:val="22"/>
              </w:rPr>
              <w:t>202.5</w:t>
            </w:r>
          </w:p>
        </w:tc>
        <w:tc>
          <w:tcPr>
            <w:tcW w:w="1540" w:type="dxa"/>
            <w:shd w:val="clear" w:color="auto" w:fill="FFFFFF" w:themeFill="background1"/>
          </w:tcPr>
          <w:p w:rsidR="00FC00F7" w:rsidRPr="00B43422" w:rsidRDefault="00B136C7" w:rsidP="00112389">
            <w:pPr>
              <w:spacing w:before="120" w:after="120"/>
              <w:jc w:val="center"/>
              <w:rPr>
                <w:rFonts w:ascii="Calibri" w:eastAsia="Calibri" w:hAnsi="Calibri" w:cs="Times New Roman"/>
                <w:b/>
                <w:color w:val="4F6228" w:themeColor="accent3" w:themeShade="80"/>
                <w:sz w:val="20"/>
                <w:szCs w:val="22"/>
                <w:highlight w:val="yellow"/>
              </w:rPr>
            </w:pPr>
            <w:r w:rsidRPr="00B43422">
              <w:rPr>
                <w:rFonts w:ascii="Calibri" w:eastAsia="Calibri" w:hAnsi="Calibri" w:cs="Times New Roman"/>
                <w:b/>
                <w:color w:val="4F6228" w:themeColor="accent3" w:themeShade="80"/>
                <w:sz w:val="20"/>
                <w:szCs w:val="22"/>
              </w:rPr>
              <w:t>No change</w:t>
            </w:r>
          </w:p>
        </w:tc>
      </w:tr>
      <w:tr w:rsidR="00FC00F7" w:rsidTr="00B43422">
        <w:tc>
          <w:tcPr>
            <w:tcW w:w="3085" w:type="dxa"/>
          </w:tcPr>
          <w:p w:rsidR="00112389" w:rsidRPr="00112389" w:rsidRDefault="00FC00F7" w:rsidP="00112389">
            <w:pPr>
              <w:spacing w:before="120" w:after="120"/>
              <w:rPr>
                <w:rFonts w:ascii="Calibri" w:eastAsia="Calibri" w:hAnsi="Calibri" w:cs="Times New Roman"/>
                <w:b/>
                <w:color w:val="404040" w:themeColor="text1" w:themeTint="BF"/>
                <w:sz w:val="20"/>
                <w:szCs w:val="22"/>
              </w:rPr>
            </w:pPr>
            <w:r w:rsidRPr="00BB10D6">
              <w:rPr>
                <w:rFonts w:ascii="Calibri" w:eastAsia="Calibri" w:hAnsi="Calibri" w:cs="Times New Roman"/>
                <w:b/>
                <w:color w:val="404040" w:themeColor="text1" w:themeTint="BF"/>
                <w:sz w:val="20"/>
                <w:szCs w:val="22"/>
              </w:rPr>
              <w:t>Local Nature Reserves</w:t>
            </w:r>
            <w:r w:rsidR="00112389">
              <w:rPr>
                <w:rFonts w:ascii="Calibri" w:eastAsia="Calibri" w:hAnsi="Calibri" w:cs="Times New Roman"/>
                <w:b/>
                <w:color w:val="404040" w:themeColor="text1" w:themeTint="BF"/>
                <w:sz w:val="20"/>
                <w:szCs w:val="22"/>
              </w:rPr>
              <w:t xml:space="preserve"> </w:t>
            </w:r>
            <w:r w:rsidR="00112389" w:rsidRPr="00112389">
              <w:rPr>
                <w:rFonts w:ascii="Calibri" w:eastAsia="Calibri" w:hAnsi="Calibri" w:cs="Times New Roman"/>
                <w:color w:val="404040" w:themeColor="text1" w:themeTint="BF"/>
                <w:sz w:val="20"/>
                <w:szCs w:val="22"/>
              </w:rPr>
              <w:t>(3 Sites)</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6.63</w:t>
            </w:r>
          </w:p>
        </w:tc>
        <w:tc>
          <w:tcPr>
            <w:tcW w:w="1539" w:type="dxa"/>
          </w:tcPr>
          <w:p w:rsidR="00FC00F7" w:rsidRPr="00BB10D6" w:rsidRDefault="00112389" w:rsidP="00112389">
            <w:pPr>
              <w:spacing w:before="120" w:after="120"/>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6.63</w:t>
            </w:r>
          </w:p>
        </w:tc>
        <w:tc>
          <w:tcPr>
            <w:tcW w:w="1539" w:type="dxa"/>
            <w:shd w:val="clear" w:color="auto" w:fill="FFFFFF" w:themeFill="background1"/>
          </w:tcPr>
          <w:p w:rsidR="00F54F5C" w:rsidRPr="00B43422" w:rsidRDefault="00F54F5C" w:rsidP="00112389">
            <w:pPr>
              <w:spacing w:before="120" w:after="120"/>
              <w:jc w:val="center"/>
              <w:rPr>
                <w:rFonts w:ascii="Calibri" w:eastAsia="Calibri" w:hAnsi="Calibri" w:cs="Times New Roman"/>
                <w:color w:val="404040" w:themeColor="text1" w:themeTint="BF"/>
                <w:sz w:val="20"/>
                <w:szCs w:val="22"/>
              </w:rPr>
            </w:pPr>
            <w:r w:rsidRPr="00B43422">
              <w:rPr>
                <w:rFonts w:ascii="Calibri" w:eastAsia="Calibri" w:hAnsi="Calibri" w:cs="Times New Roman"/>
                <w:color w:val="404040" w:themeColor="text1" w:themeTint="BF"/>
                <w:sz w:val="20"/>
                <w:szCs w:val="22"/>
              </w:rPr>
              <w:t>6.63</w:t>
            </w:r>
          </w:p>
        </w:tc>
        <w:tc>
          <w:tcPr>
            <w:tcW w:w="1540" w:type="dxa"/>
            <w:shd w:val="clear" w:color="auto" w:fill="FFFFFF" w:themeFill="background1"/>
          </w:tcPr>
          <w:p w:rsidR="00FC00F7" w:rsidRPr="00B43422" w:rsidRDefault="00F54F5C" w:rsidP="00112389">
            <w:pPr>
              <w:spacing w:before="120" w:after="120"/>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No change</w:t>
            </w:r>
          </w:p>
        </w:tc>
      </w:tr>
      <w:tr w:rsidR="00FC00F7" w:rsidTr="00B43422">
        <w:tc>
          <w:tcPr>
            <w:tcW w:w="3085" w:type="dxa"/>
          </w:tcPr>
          <w:p w:rsidR="00112389" w:rsidRPr="00112389" w:rsidRDefault="00FC00F7" w:rsidP="00112389">
            <w:pPr>
              <w:spacing w:before="120" w:after="120"/>
              <w:rPr>
                <w:rFonts w:ascii="Calibri" w:eastAsia="Calibri" w:hAnsi="Calibri" w:cs="Times New Roman"/>
                <w:b/>
                <w:color w:val="404040" w:themeColor="text1" w:themeTint="BF"/>
                <w:sz w:val="20"/>
                <w:szCs w:val="22"/>
              </w:rPr>
            </w:pPr>
            <w:r w:rsidRPr="00BB10D6">
              <w:rPr>
                <w:rFonts w:ascii="Calibri" w:eastAsia="Calibri" w:hAnsi="Calibri" w:cs="Times New Roman"/>
                <w:b/>
                <w:color w:val="404040" w:themeColor="text1" w:themeTint="BF"/>
                <w:sz w:val="20"/>
                <w:szCs w:val="22"/>
              </w:rPr>
              <w:t>Regionally Important Geological or Geomorphological Sites (RIGS)</w:t>
            </w:r>
            <w:r w:rsidR="00112389">
              <w:rPr>
                <w:rFonts w:ascii="Calibri" w:eastAsia="Calibri" w:hAnsi="Calibri" w:cs="Times New Roman"/>
                <w:b/>
                <w:color w:val="404040" w:themeColor="text1" w:themeTint="BF"/>
                <w:sz w:val="20"/>
                <w:szCs w:val="22"/>
              </w:rPr>
              <w:t xml:space="preserve"> </w:t>
            </w:r>
            <w:r w:rsidR="00112389">
              <w:rPr>
                <w:rFonts w:ascii="Calibri" w:eastAsia="Calibri" w:hAnsi="Calibri" w:cs="Times New Roman"/>
                <w:color w:val="404040" w:themeColor="text1" w:themeTint="BF"/>
                <w:sz w:val="20"/>
                <w:szCs w:val="22"/>
              </w:rPr>
              <w:t>(2 Sites)</w:t>
            </w: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2.0</w:t>
            </w:r>
          </w:p>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p>
        </w:tc>
        <w:tc>
          <w:tcPr>
            <w:tcW w:w="1539" w:type="dxa"/>
          </w:tcPr>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r w:rsidRPr="00BB10D6">
              <w:rPr>
                <w:rFonts w:ascii="Calibri" w:eastAsia="Calibri" w:hAnsi="Calibri" w:cs="Times New Roman"/>
                <w:color w:val="404040" w:themeColor="text1" w:themeTint="BF"/>
                <w:sz w:val="20"/>
                <w:szCs w:val="22"/>
              </w:rPr>
              <w:t>2.0</w:t>
            </w:r>
          </w:p>
          <w:p w:rsidR="00FC00F7" w:rsidRPr="00BB10D6" w:rsidRDefault="00FC00F7" w:rsidP="00112389">
            <w:pPr>
              <w:spacing w:before="120" w:after="120"/>
              <w:jc w:val="center"/>
              <w:rPr>
                <w:rFonts w:ascii="Calibri" w:eastAsia="Calibri" w:hAnsi="Calibri" w:cs="Times New Roman"/>
                <w:color w:val="404040" w:themeColor="text1" w:themeTint="BF"/>
                <w:sz w:val="20"/>
                <w:szCs w:val="22"/>
              </w:rPr>
            </w:pPr>
          </w:p>
        </w:tc>
        <w:tc>
          <w:tcPr>
            <w:tcW w:w="1539" w:type="dxa"/>
            <w:shd w:val="clear" w:color="auto" w:fill="FFFFFF" w:themeFill="background1"/>
          </w:tcPr>
          <w:p w:rsidR="00FC00F7" w:rsidRPr="00B43422" w:rsidRDefault="00B136C7" w:rsidP="00112389">
            <w:pPr>
              <w:spacing w:before="120" w:after="120"/>
              <w:jc w:val="center"/>
              <w:rPr>
                <w:rFonts w:ascii="Calibri" w:eastAsia="Calibri" w:hAnsi="Calibri" w:cs="Times New Roman"/>
                <w:color w:val="404040" w:themeColor="text1" w:themeTint="BF"/>
                <w:sz w:val="20"/>
                <w:szCs w:val="22"/>
              </w:rPr>
            </w:pPr>
            <w:r w:rsidRPr="00B43422">
              <w:rPr>
                <w:rFonts w:ascii="Calibri" w:eastAsia="Calibri" w:hAnsi="Calibri" w:cs="Times New Roman"/>
                <w:color w:val="404040" w:themeColor="text1" w:themeTint="BF"/>
                <w:sz w:val="20"/>
                <w:szCs w:val="22"/>
              </w:rPr>
              <w:t>2.0</w:t>
            </w:r>
          </w:p>
        </w:tc>
        <w:tc>
          <w:tcPr>
            <w:tcW w:w="1540" w:type="dxa"/>
            <w:shd w:val="clear" w:color="auto" w:fill="FFFFFF" w:themeFill="background1"/>
          </w:tcPr>
          <w:p w:rsidR="00FC00F7" w:rsidRPr="00B43422" w:rsidRDefault="00B136C7" w:rsidP="00112389">
            <w:pPr>
              <w:spacing w:before="120" w:after="120"/>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No change</w:t>
            </w:r>
          </w:p>
        </w:tc>
      </w:tr>
    </w:tbl>
    <w:p w:rsidR="000B2357" w:rsidRPr="000B2357" w:rsidRDefault="000B2357" w:rsidP="000B2357">
      <w:pPr>
        <w:rPr>
          <w:rFonts w:ascii="Calibri" w:eastAsia="Calibri" w:hAnsi="Calibri" w:cs="Times New Roman"/>
          <w:b/>
          <w:sz w:val="8"/>
          <w:szCs w:val="8"/>
        </w:rPr>
      </w:pPr>
    </w:p>
    <w:p w:rsidR="00BB10D6" w:rsidRPr="00C9439B" w:rsidRDefault="008B306D" w:rsidP="006D60DF">
      <w:pPr>
        <w:spacing w:after="200" w:line="276" w:lineRule="auto"/>
        <w:jc w:val="center"/>
        <w:rPr>
          <w:rFonts w:ascii="Calibri" w:eastAsia="Calibri" w:hAnsi="Calibri" w:cs="Times New Roman"/>
          <w:sz w:val="20"/>
          <w:szCs w:val="22"/>
        </w:rPr>
      </w:pPr>
      <w:r>
        <w:rPr>
          <w:rFonts w:ascii="Calibri" w:eastAsia="Calibri" w:hAnsi="Calibri" w:cs="Times New Roman"/>
          <w:b/>
          <w:sz w:val="20"/>
          <w:szCs w:val="22"/>
        </w:rPr>
        <w:t>Figure 22</w:t>
      </w:r>
      <w:r w:rsidR="00FC00F7">
        <w:rPr>
          <w:rFonts w:ascii="Calibri" w:eastAsia="Calibri" w:hAnsi="Calibri" w:cs="Times New Roman"/>
          <w:b/>
          <w:sz w:val="20"/>
          <w:szCs w:val="22"/>
        </w:rPr>
        <w:t>:</w:t>
      </w:r>
      <w:r w:rsidR="00FC00F7">
        <w:rPr>
          <w:rFonts w:ascii="Calibri" w:eastAsia="Calibri" w:hAnsi="Calibri" w:cs="Times New Roman"/>
          <w:sz w:val="20"/>
          <w:szCs w:val="22"/>
        </w:rPr>
        <w:t xml:space="preserve"> Area of sites designated</w:t>
      </w:r>
      <w:r w:rsidR="00BB10D6">
        <w:rPr>
          <w:rFonts w:ascii="Calibri" w:eastAsia="Calibri" w:hAnsi="Calibri" w:cs="Times New Roman"/>
          <w:sz w:val="20"/>
          <w:szCs w:val="22"/>
        </w:rPr>
        <w:t xml:space="preserve"> for their i</w:t>
      </w:r>
      <w:r w:rsidR="00FC00F7">
        <w:rPr>
          <w:rFonts w:ascii="Calibri" w:eastAsia="Calibri" w:hAnsi="Calibri" w:cs="Times New Roman"/>
          <w:sz w:val="20"/>
          <w:szCs w:val="22"/>
        </w:rPr>
        <w:t>ntrinsic value</w:t>
      </w:r>
      <w:r w:rsidR="00F54F5C">
        <w:rPr>
          <w:rFonts w:ascii="Calibri" w:eastAsia="Calibri" w:hAnsi="Calibri" w:cs="Times New Roman"/>
          <w:sz w:val="20"/>
          <w:szCs w:val="22"/>
        </w:rPr>
        <w:t xml:space="preserve"> in Oxford</w:t>
      </w:r>
      <w:r w:rsidR="00F61B80">
        <w:rPr>
          <w:rFonts w:ascii="Calibri" w:eastAsia="Calibri" w:hAnsi="Calibri" w:cs="Times New Roman"/>
          <w:sz w:val="20"/>
          <w:szCs w:val="22"/>
        </w:rPr>
        <w:t xml:space="preserve"> (Natural England Data)</w:t>
      </w:r>
      <w:r w:rsidR="00840D9F">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870208" behindDoc="1" locked="0" layoutInCell="1" allowOverlap="1" wp14:anchorId="0F1875C8" wp14:editId="386B31EB">
                <wp:simplePos x="0" y="0"/>
                <wp:positionH relativeFrom="column">
                  <wp:posOffset>-76200</wp:posOffset>
                </wp:positionH>
                <wp:positionV relativeFrom="paragraph">
                  <wp:posOffset>285750</wp:posOffset>
                </wp:positionV>
                <wp:extent cx="5866130" cy="1781175"/>
                <wp:effectExtent l="0" t="0" r="1270" b="9525"/>
                <wp:wrapNone/>
                <wp:docPr id="206" name="Rectangle 206"/>
                <wp:cNvGraphicFramePr/>
                <a:graphic xmlns:a="http://schemas.openxmlformats.org/drawingml/2006/main">
                  <a:graphicData uri="http://schemas.microsoft.com/office/word/2010/wordprocessingShape">
                    <wps:wsp>
                      <wps:cNvSpPr/>
                      <wps:spPr>
                        <a:xfrm>
                          <a:off x="0" y="0"/>
                          <a:ext cx="5866130" cy="178117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26" style="position:absolute;margin-left:-6pt;margin-top:22.5pt;width:461.9pt;height:140.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" fillcolor="#c2d69b [1942]" stroked="f" strokeweight="2pt"/>
            </w:pict>
          </mc:Fallback>
        </mc:AlternateContent>
      </w:r>
    </w:p>
    <w:p w:rsidR="00840D9F" w:rsidRPr="000B530E" w:rsidRDefault="00840D9F" w:rsidP="00840D9F">
      <w:pPr>
        <w:autoSpaceDE w:val="0"/>
        <w:autoSpaceDN w:val="0"/>
        <w:adjustRightInd w:val="0"/>
        <w:jc w:val="both"/>
        <w:rPr>
          <w:rFonts w:ascii="Calibri" w:eastAsia="Calibri" w:hAnsi="Calibri" w:cs="Calibri"/>
          <w:color w:val="3F4F21"/>
        </w:rPr>
      </w:pPr>
      <w:r>
        <w:rPr>
          <w:rFonts w:ascii="Calibri" w:eastAsia="Calibri" w:hAnsi="Calibri" w:cs="Calibri"/>
          <w:b/>
          <w:color w:val="3F4F21"/>
        </w:rPr>
        <w:t>Indicator 23</w:t>
      </w:r>
      <w:r w:rsidRPr="000B530E">
        <w:rPr>
          <w:rFonts w:ascii="Calibri" w:eastAsia="Calibri" w:hAnsi="Calibri" w:cs="Calibri"/>
          <w:b/>
          <w:color w:val="3F4F21"/>
        </w:rPr>
        <w:t xml:space="preserve">: </w:t>
      </w:r>
      <w:r>
        <w:rPr>
          <w:rFonts w:ascii="Calibri" w:eastAsia="Calibri" w:hAnsi="Calibri" w:cs="Calibri"/>
          <w:b/>
          <w:color w:val="3F4F21"/>
        </w:rPr>
        <w:t>PERMISSIONS CONTRA</w:t>
      </w:r>
      <w:r w:rsidR="0052102B">
        <w:rPr>
          <w:rFonts w:ascii="Calibri" w:eastAsia="Calibri" w:hAnsi="Calibri" w:cs="Calibri"/>
          <w:b/>
          <w:color w:val="3F4F21"/>
        </w:rPr>
        <w:t>R</w:t>
      </w:r>
      <w:r>
        <w:rPr>
          <w:rFonts w:ascii="Calibri" w:eastAsia="Calibri" w:hAnsi="Calibri" w:cs="Calibri"/>
          <w:b/>
          <w:color w:val="3F4F21"/>
        </w:rPr>
        <w:t>Y TO ENVIRONMENT AGENCY ADVICE</w:t>
      </w:r>
    </w:p>
    <w:p w:rsidR="00840D9F" w:rsidRPr="000B530E" w:rsidRDefault="00840D9F" w:rsidP="00840D9F">
      <w:pPr>
        <w:autoSpaceDE w:val="0"/>
        <w:autoSpaceDN w:val="0"/>
        <w:adjustRightInd w:val="0"/>
        <w:jc w:val="both"/>
        <w:rPr>
          <w:rFonts w:ascii="Calibri" w:eastAsia="Calibri" w:hAnsi="Calibri" w:cs="Calibri"/>
          <w:b/>
          <w:color w:val="3F4F21"/>
          <w:sz w:val="10"/>
          <w:szCs w:val="22"/>
        </w:rPr>
      </w:pPr>
    </w:p>
    <w:p w:rsidR="00840D9F" w:rsidRPr="00EC00D8" w:rsidRDefault="00840D9F" w:rsidP="00840D9F">
      <w:pPr>
        <w:autoSpaceDE w:val="0"/>
        <w:autoSpaceDN w:val="0"/>
        <w:adjustRightInd w:val="0"/>
        <w:jc w:val="both"/>
        <w:rPr>
          <w:rFonts w:ascii="Calibri" w:eastAsia="Calibri" w:hAnsi="Calibri" w:cs="Calibri"/>
          <w:b/>
          <w:color w:val="984806" w:themeColor="accent6" w:themeShade="80"/>
          <w:sz w:val="22"/>
          <w:szCs w:val="22"/>
        </w:rPr>
      </w:pPr>
      <w:r w:rsidRPr="000B530E">
        <w:rPr>
          <w:rFonts w:ascii="Calibri" w:eastAsia="Calibri" w:hAnsi="Calibri" w:cs="Calibri"/>
          <w:b/>
          <w:color w:val="3F4F21"/>
          <w:sz w:val="22"/>
          <w:szCs w:val="22"/>
        </w:rPr>
        <w:t xml:space="preserve">Target: </w:t>
      </w:r>
      <w:r>
        <w:rPr>
          <w:rFonts w:ascii="Calibri" w:eastAsia="Calibri" w:hAnsi="Calibri" w:cs="Calibri"/>
          <w:b/>
          <w:color w:val="3F4F21"/>
          <w:sz w:val="22"/>
          <w:szCs w:val="22"/>
        </w:rPr>
        <w:t>0% of planning permissions to be approved contrary to formal Environment Agency Objection</w:t>
      </w:r>
      <w:r>
        <w:rPr>
          <w:rFonts w:ascii="Calibri" w:eastAsia="Calibri" w:hAnsi="Calibri" w:cs="Calibri"/>
          <w:color w:val="4F6228" w:themeColor="accent3" w:themeShade="80"/>
          <w:sz w:val="20"/>
          <w:szCs w:val="22"/>
        </w:rPr>
        <w:t xml:space="preserve"> (Oxford Core Strategy</w:t>
      </w:r>
      <w:r w:rsidRPr="00EC00D8">
        <w:rPr>
          <w:rFonts w:ascii="Calibri" w:eastAsia="Calibri" w:hAnsi="Calibri" w:cs="Calibri"/>
          <w:color w:val="4F6228" w:themeColor="accent3" w:themeShade="80"/>
          <w:sz w:val="20"/>
          <w:szCs w:val="22"/>
        </w:rPr>
        <w:t xml:space="preserve"> Policy CS</w:t>
      </w:r>
      <w:r>
        <w:rPr>
          <w:rFonts w:ascii="Calibri" w:eastAsia="Calibri" w:hAnsi="Calibri" w:cs="Calibri"/>
          <w:color w:val="4F6228" w:themeColor="accent3" w:themeShade="80"/>
          <w:sz w:val="20"/>
          <w:szCs w:val="22"/>
        </w:rPr>
        <w:t>11</w:t>
      </w:r>
      <w:r w:rsidRPr="00EC00D8">
        <w:rPr>
          <w:rFonts w:ascii="Calibri" w:eastAsia="Calibri" w:hAnsi="Calibri" w:cs="Calibri"/>
          <w:color w:val="4F6228" w:themeColor="accent3" w:themeShade="80"/>
          <w:sz w:val="20"/>
          <w:szCs w:val="22"/>
        </w:rPr>
        <w:t>)</w:t>
      </w:r>
    </w:p>
    <w:p w:rsidR="00840D9F" w:rsidRPr="000B530E" w:rsidRDefault="00840D9F" w:rsidP="00840D9F">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840D9F" w:rsidRPr="000B530E" w:rsidTr="0035034F">
        <w:trPr>
          <w:trHeight w:val="218"/>
        </w:trPr>
        <w:tc>
          <w:tcPr>
            <w:tcW w:w="5420" w:type="dxa"/>
          </w:tcPr>
          <w:p w:rsidR="00840D9F" w:rsidRPr="000B530E" w:rsidRDefault="00840D9F" w:rsidP="0035034F">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840D9F" w:rsidRPr="000B530E" w:rsidRDefault="00840D9F" w:rsidP="0035034F">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840D9F" w:rsidRPr="000B530E" w:rsidTr="0035034F">
        <w:tc>
          <w:tcPr>
            <w:tcW w:w="5420" w:type="dxa"/>
            <w:vMerge w:val="restart"/>
          </w:tcPr>
          <w:p w:rsidR="00840D9F" w:rsidRPr="000B530E" w:rsidRDefault="00840D9F" w:rsidP="0035034F">
            <w:pPr>
              <w:autoSpaceDE w:val="0"/>
              <w:autoSpaceDN w:val="0"/>
              <w:adjustRightInd w:val="0"/>
              <w:jc w:val="center"/>
              <w:rPr>
                <w:rFonts w:ascii="Calibri" w:eastAsia="Calibri" w:hAnsi="Calibri" w:cs="Calibri"/>
                <w:b/>
                <w:color w:val="3F4F21"/>
                <w:sz w:val="8"/>
                <w:szCs w:val="8"/>
              </w:rPr>
            </w:pPr>
          </w:p>
          <w:p w:rsidR="00840D9F" w:rsidRPr="000B530E" w:rsidRDefault="006D60DF" w:rsidP="0035034F">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0366DEC7" wp14:editId="1C7D1E5C">
                  <wp:extent cx="1666875" cy="501917"/>
                  <wp:effectExtent l="0" t="0" r="0" b="0"/>
                  <wp:docPr id="216" name="Picture 216"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840D9F" w:rsidRPr="000B530E" w:rsidRDefault="00840D9F" w:rsidP="0035034F">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840D9F" w:rsidRPr="000B530E" w:rsidRDefault="00840D9F" w:rsidP="0035034F">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07026D64" wp14:editId="032B5120">
                  <wp:extent cx="1085850" cy="326964"/>
                  <wp:effectExtent l="0" t="0" r="0" b="0"/>
                  <wp:docPr id="204" name="Picture 20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840D9F" w:rsidRPr="000B530E" w:rsidRDefault="00840D9F" w:rsidP="0035034F">
            <w:pPr>
              <w:autoSpaceDE w:val="0"/>
              <w:autoSpaceDN w:val="0"/>
              <w:adjustRightInd w:val="0"/>
              <w:jc w:val="center"/>
              <w:rPr>
                <w:rFonts w:ascii="Calibri" w:eastAsia="Calibri" w:hAnsi="Calibri" w:cs="Calibri"/>
                <w:b/>
                <w:color w:val="3F4F21"/>
                <w:sz w:val="8"/>
                <w:szCs w:val="8"/>
              </w:rPr>
            </w:pPr>
          </w:p>
        </w:tc>
      </w:tr>
      <w:tr w:rsidR="00840D9F" w:rsidRPr="000B530E" w:rsidTr="0035034F">
        <w:tc>
          <w:tcPr>
            <w:tcW w:w="5420" w:type="dxa"/>
            <w:vMerge/>
          </w:tcPr>
          <w:p w:rsidR="00840D9F" w:rsidRPr="000B530E" w:rsidRDefault="00840D9F" w:rsidP="0035034F">
            <w:pPr>
              <w:autoSpaceDE w:val="0"/>
              <w:autoSpaceDN w:val="0"/>
              <w:adjustRightInd w:val="0"/>
              <w:jc w:val="center"/>
              <w:rPr>
                <w:rFonts w:ascii="Calibri" w:eastAsia="Calibri" w:hAnsi="Calibri" w:cs="Calibri"/>
                <w:b/>
                <w:color w:val="3F4F21"/>
                <w:sz w:val="22"/>
                <w:szCs w:val="22"/>
              </w:rPr>
            </w:pPr>
          </w:p>
        </w:tc>
        <w:tc>
          <w:tcPr>
            <w:tcW w:w="1101" w:type="dxa"/>
          </w:tcPr>
          <w:p w:rsidR="00840D9F" w:rsidRPr="000B530E" w:rsidRDefault="00840D9F" w:rsidP="0035034F">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840D9F" w:rsidRPr="000B530E" w:rsidRDefault="00840D9F" w:rsidP="0035034F">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2FD3EA27" wp14:editId="6FCAB67B">
                  <wp:extent cx="1085850" cy="326964"/>
                  <wp:effectExtent l="0" t="0" r="0" b="0"/>
                  <wp:docPr id="205" name="Picture 20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0B530E" w:rsidRDefault="000B530E" w:rsidP="00A31762">
      <w:pPr>
        <w:rPr>
          <w:color w:val="632423" w:themeColor="accent2" w:themeShade="80"/>
          <w:sz w:val="22"/>
          <w:szCs w:val="22"/>
        </w:rPr>
      </w:pPr>
    </w:p>
    <w:p w:rsidR="000B530E" w:rsidRPr="00BC3DD4" w:rsidRDefault="00C9439B"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In 2013/14 there were </w:t>
      </w:r>
      <w:r w:rsidR="006D60DF">
        <w:rPr>
          <w:rFonts w:ascii="Calibri" w:eastAsia="Calibri" w:hAnsi="Calibri" w:cs="Times New Roman"/>
          <w:sz w:val="22"/>
          <w:szCs w:val="22"/>
        </w:rPr>
        <w:t xml:space="preserve">no </w:t>
      </w:r>
      <w:r>
        <w:rPr>
          <w:rFonts w:ascii="Calibri" w:eastAsia="Calibri" w:hAnsi="Calibri" w:cs="Times New Roman"/>
          <w:sz w:val="22"/>
          <w:szCs w:val="22"/>
        </w:rPr>
        <w:t>planning applications approved contrary to formal Environment Agency objection.</w:t>
      </w:r>
    </w:p>
    <w:p w:rsidR="00D36778" w:rsidRPr="000B530E" w:rsidRDefault="00C9439B" w:rsidP="00EC00D8">
      <w:pPr>
        <w:autoSpaceDE w:val="0"/>
        <w:autoSpaceDN w:val="0"/>
        <w:adjustRightInd w:val="0"/>
        <w:rPr>
          <w:rFonts w:ascii="Calibri" w:eastAsia="Calibri" w:hAnsi="Calibri" w:cs="Calibri"/>
          <w:color w:val="3F4F21"/>
        </w:rPr>
      </w:pPr>
      <w:r>
        <w:rPr>
          <w:rFonts w:ascii="Calibri" w:eastAsia="Calibri" w:hAnsi="Calibri" w:cs="Calibri"/>
          <w:b/>
          <w:noProof/>
          <w:color w:val="244061" w:themeColor="accent1" w:themeShade="80"/>
          <w:sz w:val="8"/>
          <w:szCs w:val="22"/>
          <w:lang w:eastAsia="en-GB"/>
        </w:rPr>
        <w:lastRenderedPageBreak/>
        <mc:AlternateContent>
          <mc:Choice Requires="wps">
            <w:drawing>
              <wp:anchor distT="0" distB="0" distL="114300" distR="114300" simplePos="0" relativeHeight="251708416" behindDoc="1" locked="0" layoutInCell="1" allowOverlap="1" wp14:anchorId="4EC77522" wp14:editId="54E57B22">
                <wp:simplePos x="0" y="0"/>
                <wp:positionH relativeFrom="column">
                  <wp:posOffset>-76200</wp:posOffset>
                </wp:positionH>
                <wp:positionV relativeFrom="paragraph">
                  <wp:posOffset>-57785</wp:posOffset>
                </wp:positionV>
                <wp:extent cx="5866130" cy="2162175"/>
                <wp:effectExtent l="0" t="0" r="1270" b="9525"/>
                <wp:wrapNone/>
                <wp:docPr id="148" name="Rectangle 148"/>
                <wp:cNvGraphicFramePr/>
                <a:graphic xmlns:a="http://schemas.openxmlformats.org/drawingml/2006/main">
                  <a:graphicData uri="http://schemas.microsoft.com/office/word/2010/wordprocessingShape">
                    <wps:wsp>
                      <wps:cNvSpPr/>
                      <wps:spPr>
                        <a:xfrm>
                          <a:off x="0" y="0"/>
                          <a:ext cx="5866130" cy="216217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6pt;margin-top:-4.55pt;width:461.9pt;height:170.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" fillcolor="#c2d69b [1942]" stroked="f" strokeweight="2pt"/>
            </w:pict>
          </mc:Fallback>
        </mc:AlternateContent>
      </w:r>
      <w:r w:rsidR="00BB10D6" w:rsidRPr="00483A60">
        <w:rPr>
          <w:rFonts w:ascii="Calibri" w:eastAsia="Calibri" w:hAnsi="Calibri" w:cs="Calibri"/>
          <w:b/>
          <w:noProof/>
          <w:color w:val="000000"/>
          <w:sz w:val="32"/>
          <w:szCs w:val="32"/>
          <w:lang w:eastAsia="en-GB"/>
        </w:rPr>
        <mc:AlternateContent>
          <mc:Choice Requires="wps">
            <w:drawing>
              <wp:anchor distT="0" distB="0" distL="114300" distR="114300" simplePos="0" relativeHeight="251762688" behindDoc="0" locked="0" layoutInCell="1" allowOverlap="1" wp14:anchorId="02B1A2C5" wp14:editId="73BE03C1">
                <wp:simplePos x="0" y="0"/>
                <wp:positionH relativeFrom="column">
                  <wp:posOffset>3488055</wp:posOffset>
                </wp:positionH>
                <wp:positionV relativeFrom="paragraph">
                  <wp:posOffset>-608330</wp:posOffset>
                </wp:positionV>
                <wp:extent cx="2427605" cy="3524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70" type="#_x0000_t202" style="position:absolute;margin-left:274.65pt;margin-top:-47.9pt;width:191.15pt;height:27.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" fillcolor="window" stroked="f" strokeweight=".5pt">
                <v:textbo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D36778" w:rsidRPr="000B530E">
        <w:rPr>
          <w:rFonts w:ascii="Calibri" w:eastAsia="Calibri" w:hAnsi="Calibri" w:cs="Calibri"/>
          <w:b/>
          <w:color w:val="3F4F21"/>
        </w:rPr>
        <w:t>Indicator 2</w:t>
      </w:r>
      <w:r w:rsidR="00D36778">
        <w:rPr>
          <w:rFonts w:ascii="Calibri" w:eastAsia="Calibri" w:hAnsi="Calibri" w:cs="Calibri"/>
          <w:b/>
          <w:color w:val="3F4F21"/>
        </w:rPr>
        <w:t>4</w:t>
      </w:r>
      <w:r w:rsidR="00D36778" w:rsidRPr="000B530E">
        <w:rPr>
          <w:rFonts w:ascii="Calibri" w:eastAsia="Calibri" w:hAnsi="Calibri" w:cs="Calibri"/>
          <w:b/>
          <w:color w:val="3F4F21"/>
        </w:rPr>
        <w:t xml:space="preserve">: </w:t>
      </w:r>
      <w:r w:rsidR="00C94125">
        <w:rPr>
          <w:rFonts w:ascii="Calibri" w:eastAsia="Calibri" w:hAnsi="Calibri" w:cs="Calibri"/>
          <w:b/>
          <w:color w:val="3F4F21"/>
        </w:rPr>
        <w:t xml:space="preserve">DEVELOPMENT COMPLYING WITH </w:t>
      </w:r>
      <w:r w:rsidR="00D36778">
        <w:rPr>
          <w:rFonts w:ascii="Calibri" w:eastAsia="Calibri" w:hAnsi="Calibri" w:cs="Calibri"/>
          <w:b/>
          <w:color w:val="3F4F21"/>
        </w:rPr>
        <w:t>NA</w:t>
      </w:r>
      <w:r w:rsidR="00932F70">
        <w:rPr>
          <w:rFonts w:ascii="Calibri" w:eastAsia="Calibri" w:hAnsi="Calibri" w:cs="Calibri"/>
          <w:b/>
          <w:color w:val="3F4F21"/>
        </w:rPr>
        <w:t>TURAL RESOURCES IMPACT ANALYSIS</w:t>
      </w:r>
      <w:r w:rsidR="00D36778">
        <w:rPr>
          <w:rFonts w:ascii="Calibri" w:eastAsia="Calibri" w:hAnsi="Calibri" w:cs="Calibri"/>
          <w:b/>
          <w:color w:val="3F4F21"/>
        </w:rPr>
        <w:t xml:space="preserve"> REQUIREMENTS</w:t>
      </w:r>
    </w:p>
    <w:p w:rsidR="00D36778" w:rsidRPr="000B530E" w:rsidRDefault="00D36778" w:rsidP="00D36778">
      <w:pPr>
        <w:autoSpaceDE w:val="0"/>
        <w:autoSpaceDN w:val="0"/>
        <w:adjustRightInd w:val="0"/>
        <w:jc w:val="both"/>
        <w:rPr>
          <w:rFonts w:ascii="Calibri" w:eastAsia="Calibri" w:hAnsi="Calibri" w:cs="Calibri"/>
          <w:b/>
          <w:color w:val="3F4F21"/>
          <w:sz w:val="10"/>
          <w:szCs w:val="22"/>
        </w:rPr>
      </w:pPr>
    </w:p>
    <w:p w:rsidR="00BB10D6" w:rsidRDefault="00D36778" w:rsidP="00BB10D6">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 xml:space="preserve">Target: </w:t>
      </w:r>
      <w:r w:rsidRPr="00D36778">
        <w:rPr>
          <w:rFonts w:ascii="Calibri" w:eastAsia="Calibri" w:hAnsi="Calibri" w:cs="Calibri"/>
          <w:b/>
          <w:color w:val="3F4F21"/>
          <w:sz w:val="22"/>
          <w:szCs w:val="22"/>
        </w:rPr>
        <w:t xml:space="preserve">100% of planning permissions granted to comply with NRIA requirements </w:t>
      </w:r>
    </w:p>
    <w:p w:rsidR="00BB10D6" w:rsidRDefault="00BB10D6" w:rsidP="00BB10D6">
      <w:pPr>
        <w:autoSpaceDE w:val="0"/>
        <w:autoSpaceDN w:val="0"/>
        <w:adjustRightInd w:val="0"/>
        <w:rPr>
          <w:rFonts w:ascii="Calibri" w:eastAsia="Calibri" w:hAnsi="Calibri" w:cs="Calibri"/>
          <w:color w:val="4F6228" w:themeColor="accent3" w:themeShade="80"/>
          <w:sz w:val="20"/>
          <w:szCs w:val="22"/>
        </w:rPr>
      </w:pPr>
      <w:r>
        <w:rPr>
          <w:rFonts w:ascii="Calibri" w:eastAsia="Calibri" w:hAnsi="Calibri" w:cs="Calibri"/>
          <w:b/>
          <w:color w:val="3F4F21"/>
          <w:sz w:val="22"/>
          <w:szCs w:val="22"/>
        </w:rPr>
        <w:t xml:space="preserve">              </w:t>
      </w:r>
      <w:r w:rsidR="00D36778" w:rsidRPr="00D36778">
        <w:rPr>
          <w:rFonts w:ascii="Calibri" w:eastAsia="Calibri" w:hAnsi="Calibri" w:cs="Calibri"/>
          <w:b/>
          <w:color w:val="3F4F21"/>
          <w:sz w:val="22"/>
          <w:szCs w:val="22"/>
        </w:rPr>
        <w:t>Minimum of 20% on-site renewable energy from qualifying sites</w:t>
      </w:r>
      <w:r w:rsidR="00EC00D8" w:rsidRPr="00EC00D8">
        <w:rPr>
          <w:rFonts w:ascii="Calibri" w:eastAsia="Calibri" w:hAnsi="Calibri" w:cs="Calibri"/>
          <w:color w:val="4F6228" w:themeColor="accent3" w:themeShade="80"/>
          <w:sz w:val="20"/>
          <w:szCs w:val="22"/>
        </w:rPr>
        <w:t xml:space="preserve"> </w:t>
      </w:r>
    </w:p>
    <w:p w:rsidR="00D36778" w:rsidRPr="000B530E" w:rsidRDefault="00BB10D6" w:rsidP="00BB10D6">
      <w:pPr>
        <w:autoSpaceDE w:val="0"/>
        <w:autoSpaceDN w:val="0"/>
        <w:adjustRightInd w:val="0"/>
        <w:rPr>
          <w:rFonts w:ascii="Calibri" w:eastAsia="Calibri" w:hAnsi="Calibri" w:cs="Calibri"/>
          <w:b/>
          <w:color w:val="3F4F21"/>
          <w:sz w:val="22"/>
          <w:szCs w:val="22"/>
        </w:rPr>
      </w:pPr>
      <w:r>
        <w:rPr>
          <w:rFonts w:ascii="Calibri" w:eastAsia="Calibri" w:hAnsi="Calibri" w:cs="Calibri"/>
          <w:color w:val="4F6228" w:themeColor="accent3" w:themeShade="80"/>
          <w:sz w:val="20"/>
          <w:szCs w:val="22"/>
        </w:rPr>
        <w:t xml:space="preserve">               </w:t>
      </w:r>
      <w:r w:rsidR="00A234AB">
        <w:rPr>
          <w:rFonts w:ascii="Calibri" w:eastAsia="Calibri" w:hAnsi="Calibri" w:cs="Calibri"/>
          <w:color w:val="4F6228" w:themeColor="accent3" w:themeShade="80"/>
          <w:sz w:val="20"/>
          <w:szCs w:val="22"/>
        </w:rPr>
        <w:t>(Oxford Core Strategy</w:t>
      </w:r>
      <w:r w:rsidR="00EC00D8">
        <w:rPr>
          <w:rFonts w:ascii="Calibri" w:eastAsia="Calibri" w:hAnsi="Calibri" w:cs="Calibri"/>
          <w:color w:val="4F6228" w:themeColor="accent3" w:themeShade="80"/>
          <w:sz w:val="20"/>
          <w:szCs w:val="22"/>
        </w:rPr>
        <w:t xml:space="preserve"> Policy CS9</w:t>
      </w:r>
      <w:r w:rsidR="003A5E42">
        <w:rPr>
          <w:rFonts w:ascii="Calibri" w:eastAsia="Calibri" w:hAnsi="Calibri" w:cs="Calibri"/>
          <w:color w:val="4F6228" w:themeColor="accent3" w:themeShade="80"/>
          <w:sz w:val="20"/>
          <w:szCs w:val="22"/>
        </w:rPr>
        <w:t xml:space="preserve"> &amp; Saved Local Plan Policy CP18</w:t>
      </w:r>
      <w:r w:rsidR="00EC00D8" w:rsidRPr="00EC00D8">
        <w:rPr>
          <w:rFonts w:ascii="Calibri" w:eastAsia="Calibri" w:hAnsi="Calibri" w:cs="Calibri"/>
          <w:color w:val="4F6228" w:themeColor="accent3" w:themeShade="80"/>
          <w:sz w:val="20"/>
          <w:szCs w:val="22"/>
        </w:rPr>
        <w:t>)</w:t>
      </w:r>
    </w:p>
    <w:p w:rsidR="00D36778" w:rsidRPr="000B530E" w:rsidRDefault="00D36778" w:rsidP="00D36778">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D36778" w:rsidRPr="000B530E" w:rsidTr="00080674">
        <w:trPr>
          <w:trHeight w:val="218"/>
        </w:trPr>
        <w:tc>
          <w:tcPr>
            <w:tcW w:w="5420" w:type="dxa"/>
          </w:tcPr>
          <w:p w:rsidR="00D36778" w:rsidRPr="000B530E" w:rsidRDefault="00D36778"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D36778" w:rsidRPr="000B530E" w:rsidTr="00080674">
        <w:tc>
          <w:tcPr>
            <w:tcW w:w="5420" w:type="dxa"/>
            <w:vMerge w:val="restart"/>
          </w:tcPr>
          <w:p w:rsidR="00D36778" w:rsidRPr="000B530E" w:rsidRDefault="00D36778" w:rsidP="00080674">
            <w:pPr>
              <w:autoSpaceDE w:val="0"/>
              <w:autoSpaceDN w:val="0"/>
              <w:adjustRightInd w:val="0"/>
              <w:jc w:val="center"/>
              <w:rPr>
                <w:rFonts w:ascii="Calibri" w:eastAsia="Calibri" w:hAnsi="Calibri" w:cs="Calibri"/>
                <w:b/>
                <w:color w:val="3F4F21"/>
                <w:sz w:val="8"/>
                <w:szCs w:val="8"/>
              </w:rPr>
            </w:pPr>
          </w:p>
          <w:p w:rsidR="00D36778" w:rsidRPr="000B530E" w:rsidRDefault="00E500D8"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5BA2F90D" wp14:editId="163954BF">
                  <wp:extent cx="1666875" cy="501917"/>
                  <wp:effectExtent l="0" t="0" r="0" b="0"/>
                  <wp:docPr id="219" name="Picture 21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Pr>
                <w:b/>
                <w:noProof/>
                <w:sz w:val="32"/>
                <w:szCs w:val="32"/>
                <w:lang w:eastAsia="en-GB"/>
              </w:rPr>
              <w:drawing>
                <wp:inline distT="0" distB="0" distL="0" distR="0" wp14:anchorId="3074E1E1" wp14:editId="0F0A3AF3">
                  <wp:extent cx="1085850" cy="338644"/>
                  <wp:effectExtent l="0" t="0" r="0" b="4445"/>
                  <wp:docPr id="146" name="Picture 146"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D36778" w:rsidRPr="000B530E" w:rsidRDefault="00D36778" w:rsidP="00080674">
            <w:pPr>
              <w:autoSpaceDE w:val="0"/>
              <w:autoSpaceDN w:val="0"/>
              <w:adjustRightInd w:val="0"/>
              <w:jc w:val="center"/>
              <w:rPr>
                <w:rFonts w:ascii="Calibri" w:eastAsia="Calibri" w:hAnsi="Calibri" w:cs="Calibri"/>
                <w:b/>
                <w:color w:val="3F4F21"/>
                <w:sz w:val="8"/>
                <w:szCs w:val="8"/>
              </w:rPr>
            </w:pPr>
          </w:p>
        </w:tc>
      </w:tr>
      <w:tr w:rsidR="00D36778" w:rsidRPr="000B530E" w:rsidTr="00080674">
        <w:tc>
          <w:tcPr>
            <w:tcW w:w="5420" w:type="dxa"/>
            <w:vMerge/>
          </w:tcPr>
          <w:p w:rsidR="00D36778" w:rsidRPr="000B530E" w:rsidRDefault="00D36778" w:rsidP="00080674">
            <w:pPr>
              <w:autoSpaceDE w:val="0"/>
              <w:autoSpaceDN w:val="0"/>
              <w:adjustRightInd w:val="0"/>
              <w:jc w:val="center"/>
              <w:rPr>
                <w:rFonts w:ascii="Calibri" w:eastAsia="Calibri" w:hAnsi="Calibri" w:cs="Calibri"/>
                <w:b/>
                <w:color w:val="3F4F21"/>
                <w:sz w:val="22"/>
                <w:szCs w:val="22"/>
              </w:rPr>
            </w:pP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0"/>
                <w:szCs w:val="20"/>
              </w:rPr>
            </w:pPr>
            <w:r>
              <w:rPr>
                <w:b/>
                <w:noProof/>
                <w:sz w:val="32"/>
                <w:szCs w:val="32"/>
                <w:lang w:eastAsia="en-GB"/>
              </w:rPr>
              <w:drawing>
                <wp:inline distT="0" distB="0" distL="0" distR="0" wp14:anchorId="16843753" wp14:editId="694B23B9">
                  <wp:extent cx="1085850" cy="338644"/>
                  <wp:effectExtent l="0" t="0" r="0" b="4445"/>
                  <wp:docPr id="147" name="Picture 147"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tc>
      </w:tr>
    </w:tbl>
    <w:p w:rsidR="00AD2C54" w:rsidRDefault="00AD2C54" w:rsidP="00AD2C54">
      <w:pPr>
        <w:spacing w:after="200" w:line="276" w:lineRule="auto"/>
        <w:jc w:val="both"/>
        <w:rPr>
          <w:rFonts w:ascii="Calibri" w:eastAsia="Calibri" w:hAnsi="Calibri" w:cs="Times New Roman"/>
          <w:sz w:val="22"/>
          <w:szCs w:val="22"/>
        </w:rPr>
      </w:pPr>
    </w:p>
    <w:p w:rsidR="001F31F1" w:rsidRPr="001F31F1" w:rsidRDefault="001F31F1" w:rsidP="004335B5">
      <w:pPr>
        <w:numPr>
          <w:ilvl w:val="0"/>
          <w:numId w:val="7"/>
        </w:numPr>
        <w:spacing w:after="200" w:line="276" w:lineRule="auto"/>
        <w:jc w:val="both"/>
        <w:rPr>
          <w:rFonts w:ascii="Calibri" w:eastAsia="Calibri" w:hAnsi="Calibri" w:cs="Times New Roman"/>
          <w:sz w:val="22"/>
          <w:szCs w:val="22"/>
        </w:rPr>
      </w:pPr>
      <w:r w:rsidRPr="001F31F1">
        <w:rPr>
          <w:rFonts w:ascii="Calibri" w:eastAsia="Calibri" w:hAnsi="Calibri" w:cs="Times New Roman"/>
          <w:sz w:val="22"/>
          <w:szCs w:val="22"/>
        </w:rPr>
        <w:t>The Natural Resource Imp</w:t>
      </w:r>
      <w:r w:rsidR="00B36975">
        <w:rPr>
          <w:rFonts w:ascii="Calibri" w:eastAsia="Calibri" w:hAnsi="Calibri" w:cs="Times New Roman"/>
          <w:sz w:val="22"/>
          <w:szCs w:val="22"/>
        </w:rPr>
        <w:t>act Analysis (NRIA) SPD requires</w:t>
      </w:r>
      <w:r w:rsidRPr="001F31F1">
        <w:rPr>
          <w:rFonts w:ascii="Calibri" w:eastAsia="Calibri" w:hAnsi="Calibri" w:cs="Times New Roman"/>
          <w:sz w:val="22"/>
          <w:szCs w:val="22"/>
        </w:rPr>
        <w:t xml:space="preserve"> developments of 10 or more dwellings, or non-residential developments of 2,000m</w:t>
      </w:r>
      <w:r w:rsidRPr="001F31F1">
        <w:rPr>
          <w:rFonts w:ascii="Calibri" w:eastAsia="Calibri" w:hAnsi="Calibri" w:cs="Times New Roman"/>
          <w:sz w:val="22"/>
          <w:szCs w:val="22"/>
          <w:vertAlign w:val="superscript"/>
        </w:rPr>
        <w:t>2</w:t>
      </w:r>
      <w:r w:rsidRPr="001F31F1">
        <w:rPr>
          <w:rFonts w:ascii="Calibri" w:eastAsia="Calibri" w:hAnsi="Calibri" w:cs="Times New Roman"/>
          <w:sz w:val="22"/>
          <w:szCs w:val="22"/>
        </w:rPr>
        <w:t xml:space="preserve"> or more, to  a submit an NRIA. Th</w:t>
      </w:r>
      <w:r w:rsidR="003E1D3A">
        <w:rPr>
          <w:rFonts w:ascii="Calibri" w:eastAsia="Calibri" w:hAnsi="Calibri" w:cs="Times New Roman"/>
          <w:sz w:val="22"/>
          <w:szCs w:val="22"/>
        </w:rPr>
        <w:t>e NRIA SPD requires</w:t>
      </w:r>
      <w:r w:rsidRPr="001F31F1">
        <w:rPr>
          <w:rFonts w:ascii="Calibri" w:eastAsia="Calibri" w:hAnsi="Calibri" w:cs="Times New Roman"/>
          <w:sz w:val="22"/>
          <w:szCs w:val="22"/>
        </w:rPr>
        <w:t xml:space="preserve"> qualifying developments to provide 20% of the development’s energy requirements to be met by renewable and low carbon technologies, as well as a range of complementary sustainability measures including energy efficiency.  A completed NRIA checklist, that rates the development’s use of natural resources, must be submitted with each application. Rarely is the City Council likely to approve a development where a score of at least 6 out of 11 is not achieved, including at least the minimum standard in each section.  The Sites and Housing Plan, through Policy HP11, now includes the requirement for qualifying residen</w:t>
      </w:r>
      <w:r w:rsidR="003E1D3A">
        <w:rPr>
          <w:rFonts w:ascii="Calibri" w:eastAsia="Calibri" w:hAnsi="Calibri" w:cs="Times New Roman"/>
          <w:sz w:val="22"/>
          <w:szCs w:val="22"/>
        </w:rPr>
        <w:t>tial developments to include the NRIA checklist as part of</w:t>
      </w:r>
      <w:r w:rsidRPr="001F31F1">
        <w:rPr>
          <w:rFonts w:ascii="Calibri" w:eastAsia="Calibri" w:hAnsi="Calibri" w:cs="Times New Roman"/>
          <w:sz w:val="22"/>
          <w:szCs w:val="22"/>
        </w:rPr>
        <w:t xml:space="preserve"> an energy statement.  This was introduced as a result of changes to the Building Regulations in early 2014.  </w:t>
      </w:r>
    </w:p>
    <w:p w:rsidR="001F31F1" w:rsidRPr="001F31F1" w:rsidRDefault="008B306D"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Figure 23</w:t>
      </w:r>
      <w:r w:rsidR="001F31F1" w:rsidRPr="001F31F1">
        <w:rPr>
          <w:rFonts w:ascii="Calibri" w:eastAsia="Calibri" w:hAnsi="Calibri" w:cs="Times New Roman"/>
          <w:sz w:val="22"/>
          <w:szCs w:val="22"/>
        </w:rPr>
        <w:t xml:space="preserve"> lists all the developments permitted in 2013/14 that required a NRIA or Energy Statement, their total score against the NRIA checklist and the proportion of renewable energy proposed to be produced on site.</w:t>
      </w: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59"/>
        <w:gridCol w:w="1417"/>
        <w:gridCol w:w="2835"/>
        <w:gridCol w:w="993"/>
        <w:gridCol w:w="3038"/>
      </w:tblGrid>
      <w:tr w:rsidR="007C21FB" w:rsidTr="00B43422">
        <w:tc>
          <w:tcPr>
            <w:tcW w:w="959" w:type="dxa"/>
            <w:shd w:val="clear" w:color="auto" w:fill="CFDFB3"/>
          </w:tcPr>
          <w:p w:rsidR="00BB10D6" w:rsidRPr="00BB10D6" w:rsidRDefault="00BB10D6" w:rsidP="00BE64A0">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Date of Decision</w:t>
            </w:r>
          </w:p>
        </w:tc>
        <w:tc>
          <w:tcPr>
            <w:tcW w:w="1417" w:type="dxa"/>
            <w:shd w:val="clear" w:color="auto" w:fill="CFDFB3"/>
          </w:tcPr>
          <w:p w:rsidR="00BB10D6" w:rsidRPr="00557661" w:rsidRDefault="00932F70" w:rsidP="00F6595A">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Application Reference</w:t>
            </w:r>
            <w:r w:rsidR="00213F1E">
              <w:rPr>
                <w:rFonts w:ascii="Calibri" w:eastAsia="Calibri" w:hAnsi="Calibri" w:cs="Times New Roman"/>
                <w:b/>
                <w:color w:val="404040" w:themeColor="text1" w:themeTint="BF"/>
                <w:sz w:val="20"/>
                <w:szCs w:val="22"/>
              </w:rPr>
              <w:t xml:space="preserve"> &amp; Site</w:t>
            </w:r>
          </w:p>
        </w:tc>
        <w:tc>
          <w:tcPr>
            <w:tcW w:w="2835" w:type="dxa"/>
            <w:shd w:val="clear" w:color="auto" w:fill="CFDFB3"/>
          </w:tcPr>
          <w:p w:rsidR="00BB10D6" w:rsidRPr="00BB10D6" w:rsidRDefault="00932F70" w:rsidP="00BE64A0">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Development</w:t>
            </w:r>
          </w:p>
        </w:tc>
        <w:tc>
          <w:tcPr>
            <w:tcW w:w="993" w:type="dxa"/>
            <w:shd w:val="clear" w:color="auto" w:fill="CFDFB3"/>
          </w:tcPr>
          <w:p w:rsidR="004A6928" w:rsidRDefault="004A6928" w:rsidP="004A6928">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NIRA</w:t>
            </w:r>
            <w:r w:rsidR="00BE64A0">
              <w:rPr>
                <w:rFonts w:ascii="Calibri" w:eastAsia="Calibri" w:hAnsi="Calibri" w:cs="Times New Roman"/>
                <w:b/>
                <w:color w:val="404040" w:themeColor="text1" w:themeTint="BF"/>
                <w:sz w:val="20"/>
                <w:szCs w:val="22"/>
              </w:rPr>
              <w:t xml:space="preserve"> </w:t>
            </w:r>
            <w:r>
              <w:rPr>
                <w:rFonts w:ascii="Calibri" w:eastAsia="Calibri" w:hAnsi="Calibri" w:cs="Times New Roman"/>
                <w:b/>
                <w:color w:val="404040" w:themeColor="text1" w:themeTint="BF"/>
                <w:sz w:val="20"/>
                <w:szCs w:val="22"/>
              </w:rPr>
              <w:t>Checklist</w:t>
            </w:r>
          </w:p>
          <w:p w:rsidR="00BB10D6" w:rsidRPr="00BB10D6" w:rsidRDefault="004A6928" w:rsidP="004A6928">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Score</w:t>
            </w:r>
          </w:p>
        </w:tc>
        <w:tc>
          <w:tcPr>
            <w:tcW w:w="3038" w:type="dxa"/>
            <w:shd w:val="clear" w:color="auto" w:fill="CFDFB3"/>
          </w:tcPr>
          <w:p w:rsidR="00932F70" w:rsidRDefault="00AD2C54" w:rsidP="00932F70">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Proposed o</w:t>
            </w:r>
            <w:r w:rsidR="00932F70">
              <w:rPr>
                <w:rFonts w:ascii="Calibri" w:eastAsia="Calibri" w:hAnsi="Calibri" w:cs="Times New Roman"/>
                <w:b/>
                <w:color w:val="404040" w:themeColor="text1" w:themeTint="BF"/>
                <w:sz w:val="20"/>
                <w:szCs w:val="22"/>
              </w:rPr>
              <w:t xml:space="preserve">n-site Renewable </w:t>
            </w:r>
          </w:p>
          <w:p w:rsidR="00BB10D6" w:rsidRPr="00BB10D6" w:rsidRDefault="00932F70" w:rsidP="00932F70">
            <w:pPr>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Energy Generation</w:t>
            </w:r>
          </w:p>
        </w:tc>
      </w:tr>
      <w:tr w:rsidR="007C21FB" w:rsidTr="00B43422">
        <w:tc>
          <w:tcPr>
            <w:tcW w:w="959" w:type="dxa"/>
          </w:tcPr>
          <w:p w:rsidR="00C9439B" w:rsidRPr="00B523E0" w:rsidRDefault="000B7EF1"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w:t>
            </w:r>
            <w:r w:rsidR="00B523E0">
              <w:rPr>
                <w:rFonts w:ascii="Calibri" w:eastAsia="Calibri" w:hAnsi="Calibri" w:cs="Times New Roman"/>
                <w:color w:val="404040" w:themeColor="text1" w:themeTint="BF"/>
                <w:sz w:val="20"/>
                <w:szCs w:val="22"/>
              </w:rPr>
              <w:t>13</w:t>
            </w: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213F1E" w:rsidRPr="00213F1E" w:rsidRDefault="00B523E0" w:rsidP="00213F1E">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09/01315/FUL</w:t>
            </w:r>
            <w:r w:rsidR="00213F1E">
              <w:rPr>
                <w:rFonts w:ascii="Calibri" w:eastAsia="Calibri" w:hAnsi="Calibri" w:cs="Times New Roman"/>
                <w:color w:val="404040" w:themeColor="text1" w:themeTint="BF"/>
                <w:sz w:val="20"/>
                <w:szCs w:val="22"/>
              </w:rPr>
              <w:t xml:space="preserve"> </w:t>
            </w:r>
            <w:r w:rsidR="00213F1E" w:rsidRPr="00213F1E">
              <w:rPr>
                <w:rFonts w:ascii="Calibri" w:eastAsia="Calibri" w:hAnsi="Calibri" w:cs="Times New Roman"/>
                <w:color w:val="404040" w:themeColor="text1" w:themeTint="BF"/>
                <w:sz w:val="20"/>
                <w:szCs w:val="22"/>
              </w:rPr>
              <w:t>Oxford University Sport</w:t>
            </w:r>
            <w:r w:rsidR="005F719B">
              <w:rPr>
                <w:rFonts w:ascii="Calibri" w:eastAsia="Calibri" w:hAnsi="Calibri" w:cs="Times New Roman"/>
                <w:color w:val="404040" w:themeColor="text1" w:themeTint="BF"/>
                <w:sz w:val="20"/>
                <w:szCs w:val="22"/>
              </w:rPr>
              <w:t>s</w:t>
            </w:r>
            <w:r w:rsidR="00213F1E" w:rsidRPr="00213F1E">
              <w:rPr>
                <w:rFonts w:ascii="Calibri" w:eastAsia="Calibri" w:hAnsi="Calibri" w:cs="Times New Roman"/>
                <w:color w:val="404040" w:themeColor="text1" w:themeTint="BF"/>
                <w:sz w:val="20"/>
                <w:szCs w:val="22"/>
              </w:rPr>
              <w:t xml:space="preserve"> Ground</w:t>
            </w:r>
          </w:p>
          <w:p w:rsidR="00B523E0" w:rsidRPr="00B523E0" w:rsidRDefault="00213F1E" w:rsidP="00213F1E">
            <w:pPr>
              <w:jc w:val="center"/>
              <w:rPr>
                <w:rFonts w:ascii="Calibri" w:eastAsia="Calibri" w:hAnsi="Calibri" w:cs="Times New Roman"/>
                <w:color w:val="404040" w:themeColor="text1" w:themeTint="BF"/>
                <w:sz w:val="20"/>
                <w:szCs w:val="22"/>
              </w:rPr>
            </w:pPr>
            <w:proofErr w:type="spellStart"/>
            <w:r w:rsidRPr="00213F1E">
              <w:rPr>
                <w:rFonts w:ascii="Calibri" w:eastAsia="Calibri" w:hAnsi="Calibri" w:cs="Times New Roman"/>
                <w:color w:val="404040" w:themeColor="text1" w:themeTint="BF"/>
                <w:sz w:val="20"/>
                <w:szCs w:val="22"/>
              </w:rPr>
              <w:t>Iffley</w:t>
            </w:r>
            <w:proofErr w:type="spellEnd"/>
            <w:r w:rsidRPr="00213F1E">
              <w:rPr>
                <w:rFonts w:ascii="Calibri" w:eastAsia="Calibri" w:hAnsi="Calibri" w:cs="Times New Roman"/>
                <w:color w:val="404040" w:themeColor="text1" w:themeTint="BF"/>
                <w:sz w:val="20"/>
                <w:szCs w:val="22"/>
              </w:rPr>
              <w:t xml:space="preserve"> Road</w:t>
            </w:r>
          </w:p>
        </w:tc>
        <w:tc>
          <w:tcPr>
            <w:tcW w:w="2835" w:type="dxa"/>
          </w:tcPr>
          <w:p w:rsidR="00BB10D6" w:rsidRPr="00B523E0" w:rsidRDefault="00B523E0" w:rsidP="00BE64A0">
            <w:pPr>
              <w:rPr>
                <w:rFonts w:ascii="Calibri" w:eastAsia="Calibri" w:hAnsi="Calibri" w:cs="Times New Roman"/>
                <w:color w:val="404040" w:themeColor="text1" w:themeTint="BF"/>
                <w:sz w:val="20"/>
                <w:szCs w:val="22"/>
              </w:rPr>
            </w:pPr>
            <w:r w:rsidRPr="00B523E0">
              <w:rPr>
                <w:rFonts w:ascii="Calibri" w:eastAsia="Calibri" w:hAnsi="Calibri" w:cs="Times New Roman"/>
                <w:color w:val="404040" w:themeColor="text1" w:themeTint="BF"/>
                <w:sz w:val="20"/>
                <w:szCs w:val="22"/>
              </w:rPr>
              <w:t xml:space="preserve">Demolition of existing pavilion. Construction of new building to accommodate 3 indoor tennis courts plus 6 external courts, to replace existing. </w:t>
            </w:r>
          </w:p>
        </w:tc>
        <w:tc>
          <w:tcPr>
            <w:tcW w:w="993" w:type="dxa"/>
            <w:shd w:val="clear" w:color="auto" w:fill="auto"/>
          </w:tcPr>
          <w:p w:rsidR="000B7EF1" w:rsidRPr="00B43422" w:rsidRDefault="000B7EF1"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7/11</w:t>
            </w:r>
          </w:p>
        </w:tc>
        <w:tc>
          <w:tcPr>
            <w:tcW w:w="3038" w:type="dxa"/>
            <w:shd w:val="clear" w:color="auto" w:fill="auto"/>
          </w:tcPr>
          <w:p w:rsidR="00BB10D6" w:rsidRPr="00B523E0" w:rsidRDefault="00CD3873" w:rsidP="00D82FD9">
            <w:pPr>
              <w:rPr>
                <w:rFonts w:ascii="Calibri" w:eastAsia="Calibri" w:hAnsi="Calibri" w:cs="Times New Roman"/>
                <w:color w:val="404040" w:themeColor="text1" w:themeTint="BF"/>
                <w:sz w:val="20"/>
                <w:szCs w:val="22"/>
              </w:rPr>
            </w:pPr>
            <w:r w:rsidRPr="00BE64A0">
              <w:rPr>
                <w:rFonts w:ascii="Calibri" w:eastAsia="Calibri" w:hAnsi="Calibri" w:cs="Times New Roman"/>
                <w:b/>
                <w:color w:val="404040" w:themeColor="text1" w:themeTint="BF"/>
                <w:sz w:val="20"/>
                <w:szCs w:val="22"/>
              </w:rPr>
              <w:t>23.7%</w:t>
            </w:r>
            <w:r>
              <w:rPr>
                <w:rFonts w:ascii="Calibri" w:eastAsia="Calibri" w:hAnsi="Calibri" w:cs="Times New Roman"/>
                <w:b/>
                <w:color w:val="404040" w:themeColor="text1" w:themeTint="BF"/>
                <w:sz w:val="20"/>
                <w:szCs w:val="22"/>
              </w:rPr>
              <w:t xml:space="preserve"> </w:t>
            </w:r>
            <w:r>
              <w:rPr>
                <w:rFonts w:ascii="Calibri" w:eastAsia="Calibri" w:hAnsi="Calibri" w:cs="Times New Roman"/>
                <w:color w:val="404040" w:themeColor="text1" w:themeTint="BF"/>
                <w:sz w:val="20"/>
                <w:szCs w:val="22"/>
              </w:rPr>
              <w:t xml:space="preserve">of the site’s energy </w:t>
            </w:r>
            <w:r w:rsidR="00D82FD9">
              <w:rPr>
                <w:rFonts w:ascii="Calibri" w:eastAsia="Calibri" w:hAnsi="Calibri" w:cs="Times New Roman"/>
                <w:color w:val="404040" w:themeColor="text1" w:themeTint="BF"/>
                <w:sz w:val="20"/>
                <w:szCs w:val="22"/>
              </w:rPr>
              <w:t>needs</w:t>
            </w:r>
            <w:r>
              <w:rPr>
                <w:rFonts w:ascii="Calibri" w:eastAsia="Calibri" w:hAnsi="Calibri" w:cs="Times New Roman"/>
                <w:color w:val="404040" w:themeColor="text1" w:themeTint="BF"/>
                <w:sz w:val="20"/>
                <w:szCs w:val="22"/>
              </w:rPr>
              <w:t xml:space="preserve"> to be met by g</w:t>
            </w:r>
            <w:r w:rsidR="000B7EF1" w:rsidRPr="000B7EF1">
              <w:rPr>
                <w:rFonts w:ascii="Calibri" w:eastAsia="Calibri" w:hAnsi="Calibri" w:cs="Times New Roman"/>
                <w:color w:val="404040" w:themeColor="text1" w:themeTint="BF"/>
                <w:sz w:val="20"/>
                <w:szCs w:val="22"/>
              </w:rPr>
              <w:t>round source heat pumps and a solar thermal system</w:t>
            </w:r>
            <w:r>
              <w:rPr>
                <w:rFonts w:ascii="Calibri" w:eastAsia="Calibri" w:hAnsi="Calibri" w:cs="Times New Roman"/>
                <w:color w:val="404040" w:themeColor="text1" w:themeTint="BF"/>
                <w:sz w:val="20"/>
                <w:szCs w:val="22"/>
              </w:rPr>
              <w:t>.</w:t>
            </w:r>
          </w:p>
        </w:tc>
      </w:tr>
      <w:tr w:rsidR="007C21FB" w:rsidTr="00B43422">
        <w:tc>
          <w:tcPr>
            <w:tcW w:w="959" w:type="dxa"/>
          </w:tcPr>
          <w:p w:rsidR="00BB10D6" w:rsidRPr="00B523E0" w:rsidRDefault="000B7EF1"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18.10.13</w:t>
            </w:r>
          </w:p>
          <w:p w:rsidR="00C9439B" w:rsidRPr="00B523E0" w:rsidRDefault="00C9439B" w:rsidP="00BE64A0">
            <w:pPr>
              <w:jc w:val="center"/>
              <w:rPr>
                <w:rFonts w:ascii="Calibri" w:eastAsia="Calibri" w:hAnsi="Calibri" w:cs="Times New Roman"/>
                <w:color w:val="404040" w:themeColor="text1" w:themeTint="BF"/>
                <w:sz w:val="20"/>
                <w:szCs w:val="22"/>
              </w:rPr>
            </w:pP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B53242" w:rsidRPr="00B53242" w:rsidRDefault="000B7EF1"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10/01006/FUL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University Running Ground</w:t>
            </w:r>
          </w:p>
          <w:p w:rsidR="00BB10D6" w:rsidRPr="00B523E0" w:rsidRDefault="00B53242" w:rsidP="00B53242">
            <w:pPr>
              <w:jc w:val="center"/>
              <w:rPr>
                <w:rFonts w:ascii="Calibri" w:eastAsia="Calibri" w:hAnsi="Calibri" w:cs="Times New Roman"/>
                <w:color w:val="404040" w:themeColor="text1" w:themeTint="BF"/>
                <w:sz w:val="20"/>
                <w:szCs w:val="22"/>
              </w:rPr>
            </w:pPr>
            <w:proofErr w:type="spellStart"/>
            <w:r w:rsidRPr="00B53242">
              <w:rPr>
                <w:rFonts w:ascii="Calibri" w:eastAsia="Calibri" w:hAnsi="Calibri" w:cs="Times New Roman"/>
                <w:color w:val="404040" w:themeColor="text1" w:themeTint="BF"/>
                <w:sz w:val="20"/>
                <w:szCs w:val="22"/>
              </w:rPr>
              <w:t>Iffley</w:t>
            </w:r>
            <w:proofErr w:type="spellEnd"/>
            <w:r w:rsidRPr="00B53242">
              <w:rPr>
                <w:rFonts w:ascii="Calibri" w:eastAsia="Calibri" w:hAnsi="Calibri" w:cs="Times New Roman"/>
                <w:color w:val="404040" w:themeColor="text1" w:themeTint="BF"/>
                <w:sz w:val="20"/>
                <w:szCs w:val="22"/>
              </w:rPr>
              <w:t xml:space="preserve"> Road</w:t>
            </w:r>
          </w:p>
        </w:tc>
        <w:tc>
          <w:tcPr>
            <w:tcW w:w="2835" w:type="dxa"/>
          </w:tcPr>
          <w:p w:rsidR="00BB10D6" w:rsidRPr="00B523E0" w:rsidRDefault="000B7EF1" w:rsidP="00BE64A0">
            <w:pPr>
              <w:rPr>
                <w:rFonts w:ascii="Calibri" w:eastAsia="Calibri" w:hAnsi="Calibri" w:cs="Times New Roman"/>
                <w:color w:val="404040" w:themeColor="text1" w:themeTint="BF"/>
                <w:sz w:val="20"/>
                <w:szCs w:val="22"/>
              </w:rPr>
            </w:pPr>
            <w:r w:rsidRPr="000B7EF1">
              <w:rPr>
                <w:rFonts w:ascii="Calibri" w:eastAsia="Calibri" w:hAnsi="Calibri" w:cs="Times New Roman"/>
                <w:color w:val="404040" w:themeColor="text1" w:themeTint="BF"/>
                <w:sz w:val="20"/>
                <w:szCs w:val="22"/>
              </w:rPr>
              <w:t>Demolition of existing sports hall, grandstand and ancillary buildings. Erection of new sports centre and Eton Fives' courts.</w:t>
            </w:r>
          </w:p>
        </w:tc>
        <w:tc>
          <w:tcPr>
            <w:tcW w:w="993" w:type="dxa"/>
            <w:shd w:val="clear" w:color="auto" w:fill="auto"/>
          </w:tcPr>
          <w:p w:rsidR="00BB10D6" w:rsidRPr="00B43422" w:rsidRDefault="004A6928"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6/11</w:t>
            </w:r>
          </w:p>
        </w:tc>
        <w:tc>
          <w:tcPr>
            <w:tcW w:w="3038" w:type="dxa"/>
            <w:shd w:val="clear" w:color="auto" w:fill="auto"/>
          </w:tcPr>
          <w:p w:rsidR="00BB10D6" w:rsidRPr="00B523E0" w:rsidRDefault="00CD3873" w:rsidP="00CD3873">
            <w:pPr>
              <w:rPr>
                <w:rFonts w:ascii="Calibri" w:eastAsia="Calibri" w:hAnsi="Calibri" w:cs="Times New Roman"/>
                <w:color w:val="404040" w:themeColor="text1" w:themeTint="BF"/>
                <w:sz w:val="20"/>
                <w:szCs w:val="22"/>
              </w:rPr>
            </w:pPr>
            <w:r w:rsidRPr="00BE64A0">
              <w:rPr>
                <w:rFonts w:ascii="Calibri" w:eastAsia="Calibri" w:hAnsi="Calibri" w:cs="Times New Roman"/>
                <w:b/>
                <w:color w:val="404040" w:themeColor="text1" w:themeTint="BF"/>
                <w:sz w:val="20"/>
                <w:szCs w:val="22"/>
              </w:rPr>
              <w:t>26%</w:t>
            </w:r>
            <w:r>
              <w:rPr>
                <w:rFonts w:ascii="Calibri" w:eastAsia="Calibri" w:hAnsi="Calibri" w:cs="Times New Roman"/>
                <w:color w:val="404040" w:themeColor="text1" w:themeTint="BF"/>
                <w:sz w:val="20"/>
                <w:szCs w:val="22"/>
              </w:rPr>
              <w:t xml:space="preserve"> of the site’s energy </w:t>
            </w:r>
            <w:r w:rsidR="00D82FD9">
              <w:rPr>
                <w:rFonts w:ascii="Calibri" w:eastAsia="Calibri" w:hAnsi="Calibri" w:cs="Times New Roman"/>
                <w:color w:val="404040" w:themeColor="text1" w:themeTint="BF"/>
                <w:sz w:val="20"/>
                <w:szCs w:val="22"/>
              </w:rPr>
              <w:t xml:space="preserve">needs </w:t>
            </w:r>
            <w:r>
              <w:rPr>
                <w:rFonts w:ascii="Calibri" w:eastAsia="Calibri" w:hAnsi="Calibri" w:cs="Times New Roman"/>
                <w:color w:val="404040" w:themeColor="text1" w:themeTint="BF"/>
                <w:sz w:val="20"/>
                <w:szCs w:val="22"/>
              </w:rPr>
              <w:t xml:space="preserve">to be met by </w:t>
            </w:r>
            <w:r w:rsidR="004A6928" w:rsidRPr="004A6928">
              <w:rPr>
                <w:rFonts w:ascii="Calibri" w:eastAsia="Calibri" w:hAnsi="Calibri" w:cs="Times New Roman"/>
                <w:color w:val="404040" w:themeColor="text1" w:themeTint="BF"/>
                <w:sz w:val="20"/>
                <w:szCs w:val="22"/>
              </w:rPr>
              <w:t>CHP (Combined Heat and Pow</w:t>
            </w:r>
            <w:r w:rsidR="004A6928">
              <w:rPr>
                <w:rFonts w:ascii="Calibri" w:eastAsia="Calibri" w:hAnsi="Calibri" w:cs="Times New Roman"/>
                <w:color w:val="404040" w:themeColor="text1" w:themeTint="BF"/>
                <w:sz w:val="20"/>
                <w:szCs w:val="22"/>
              </w:rPr>
              <w:t>er) and solar hot water heating</w:t>
            </w:r>
            <w:r>
              <w:rPr>
                <w:rFonts w:ascii="Calibri" w:eastAsia="Calibri" w:hAnsi="Calibri" w:cs="Times New Roman"/>
                <w:color w:val="404040" w:themeColor="text1" w:themeTint="BF"/>
                <w:sz w:val="20"/>
                <w:szCs w:val="22"/>
              </w:rPr>
              <w:t>.</w:t>
            </w:r>
            <w:r w:rsidR="004A6928">
              <w:rPr>
                <w:rFonts w:ascii="Calibri" w:eastAsia="Calibri" w:hAnsi="Calibri" w:cs="Times New Roman"/>
                <w:color w:val="404040" w:themeColor="text1" w:themeTint="BF"/>
                <w:sz w:val="20"/>
                <w:szCs w:val="22"/>
              </w:rPr>
              <w:t xml:space="preserve"> </w:t>
            </w:r>
          </w:p>
        </w:tc>
      </w:tr>
      <w:tr w:rsidR="007C21FB" w:rsidTr="00B43422">
        <w:tc>
          <w:tcPr>
            <w:tcW w:w="959" w:type="dxa"/>
          </w:tcPr>
          <w:p w:rsidR="00C9439B" w:rsidRPr="00B523E0" w:rsidRDefault="00BE64A0"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18.10.13</w:t>
            </w: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B53242" w:rsidRDefault="00BE64A0" w:rsidP="00910DB7">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12/01116/CT3</w:t>
            </w:r>
            <w:r w:rsidR="00B53242">
              <w:rPr>
                <w:rFonts w:ascii="Calibri" w:eastAsia="Calibri" w:hAnsi="Calibri" w:cs="Times New Roman"/>
                <w:color w:val="404040" w:themeColor="text1" w:themeTint="BF"/>
                <w:sz w:val="20"/>
                <w:szCs w:val="22"/>
              </w:rPr>
              <w:t xml:space="preserve"> 1-30 </w:t>
            </w:r>
            <w:proofErr w:type="spellStart"/>
            <w:r w:rsidR="00B53242">
              <w:rPr>
                <w:rFonts w:ascii="Calibri" w:eastAsia="Calibri" w:hAnsi="Calibri" w:cs="Times New Roman"/>
                <w:color w:val="404040" w:themeColor="text1" w:themeTint="BF"/>
                <w:sz w:val="20"/>
                <w:szCs w:val="22"/>
              </w:rPr>
              <w:t>Bradlands</w:t>
            </w:r>
            <w:proofErr w:type="spellEnd"/>
            <w:r w:rsidR="00B53242">
              <w:rPr>
                <w:rFonts w:ascii="Calibri" w:eastAsia="Calibri" w:hAnsi="Calibri" w:cs="Times New Roman"/>
                <w:color w:val="404040" w:themeColor="text1" w:themeTint="BF"/>
                <w:sz w:val="20"/>
                <w:szCs w:val="22"/>
              </w:rPr>
              <w:t xml:space="preserve"> </w:t>
            </w:r>
          </w:p>
          <w:p w:rsidR="00BB10D6" w:rsidRPr="00B523E0" w:rsidRDefault="00B53242" w:rsidP="00910DB7">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Mill Lane</w:t>
            </w:r>
          </w:p>
        </w:tc>
        <w:tc>
          <w:tcPr>
            <w:tcW w:w="2835" w:type="dxa"/>
          </w:tcPr>
          <w:p w:rsidR="00BB10D6" w:rsidRPr="00B523E0" w:rsidRDefault="00BE64A0" w:rsidP="00BE64A0">
            <w:pPr>
              <w:rPr>
                <w:rFonts w:ascii="Calibri" w:eastAsia="Calibri" w:hAnsi="Calibri" w:cs="Times New Roman"/>
                <w:color w:val="404040" w:themeColor="text1" w:themeTint="BF"/>
                <w:sz w:val="20"/>
                <w:szCs w:val="22"/>
              </w:rPr>
            </w:pPr>
            <w:r w:rsidRPr="00BE64A0">
              <w:rPr>
                <w:rFonts w:ascii="Calibri" w:eastAsia="Calibri" w:hAnsi="Calibri" w:cs="Times New Roman"/>
                <w:color w:val="404040" w:themeColor="text1" w:themeTint="BF"/>
                <w:sz w:val="20"/>
                <w:szCs w:val="22"/>
              </w:rPr>
              <w:t>Demolition of existing buildings. Erection of 3 storey sheltered accommodation comprising 49 flats with ancillary communal space and facilities.</w:t>
            </w:r>
          </w:p>
        </w:tc>
        <w:tc>
          <w:tcPr>
            <w:tcW w:w="993" w:type="dxa"/>
            <w:shd w:val="clear" w:color="auto" w:fill="auto"/>
          </w:tcPr>
          <w:p w:rsidR="00BB10D6" w:rsidRPr="00B43422" w:rsidRDefault="00BE64A0"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8/11</w:t>
            </w:r>
          </w:p>
        </w:tc>
        <w:tc>
          <w:tcPr>
            <w:tcW w:w="3038" w:type="dxa"/>
            <w:shd w:val="clear" w:color="auto" w:fill="auto"/>
          </w:tcPr>
          <w:p w:rsidR="00BB10D6" w:rsidRPr="00B523E0" w:rsidRDefault="00CD3873" w:rsidP="00CD3873">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B</w:t>
            </w:r>
            <w:r w:rsidRPr="00BE64A0">
              <w:rPr>
                <w:rFonts w:ascii="Calibri" w:eastAsia="Calibri" w:hAnsi="Calibri" w:cs="Times New Roman"/>
                <w:b/>
                <w:color w:val="404040" w:themeColor="text1" w:themeTint="BF"/>
                <w:sz w:val="20"/>
                <w:szCs w:val="22"/>
              </w:rPr>
              <w:t xml:space="preserve">etween </w:t>
            </w:r>
            <w:r>
              <w:rPr>
                <w:rFonts w:ascii="Calibri" w:eastAsia="Calibri" w:hAnsi="Calibri" w:cs="Times New Roman"/>
                <w:b/>
                <w:color w:val="404040" w:themeColor="text1" w:themeTint="BF"/>
                <w:sz w:val="20"/>
                <w:szCs w:val="22"/>
              </w:rPr>
              <w:t>30-39%</w:t>
            </w:r>
            <w:r>
              <w:rPr>
                <w:rFonts w:ascii="Calibri" w:eastAsia="Calibri" w:hAnsi="Calibri" w:cs="Times New Roman"/>
                <w:color w:val="404040" w:themeColor="text1" w:themeTint="BF"/>
                <w:sz w:val="20"/>
                <w:szCs w:val="22"/>
              </w:rPr>
              <w:t xml:space="preserve"> of the site’s energy needs to be met by </w:t>
            </w:r>
            <w:r w:rsidR="00BE64A0">
              <w:rPr>
                <w:rFonts w:ascii="Calibri" w:eastAsia="Calibri" w:hAnsi="Calibri" w:cs="Times New Roman"/>
                <w:color w:val="404040" w:themeColor="text1" w:themeTint="BF"/>
                <w:sz w:val="20"/>
                <w:szCs w:val="22"/>
              </w:rPr>
              <w:t>solar panels and PV</w:t>
            </w:r>
            <w:r>
              <w:rPr>
                <w:rFonts w:ascii="Calibri" w:eastAsia="Calibri" w:hAnsi="Calibri" w:cs="Times New Roman"/>
                <w:color w:val="404040" w:themeColor="text1" w:themeTint="BF"/>
                <w:sz w:val="20"/>
                <w:szCs w:val="22"/>
              </w:rPr>
              <w:t>.</w:t>
            </w:r>
          </w:p>
        </w:tc>
      </w:tr>
      <w:tr w:rsidR="007C21FB" w:rsidTr="00B43422">
        <w:tc>
          <w:tcPr>
            <w:tcW w:w="959" w:type="dxa"/>
          </w:tcPr>
          <w:p w:rsidR="00BB10D6" w:rsidRPr="00B523E0" w:rsidRDefault="00CD3873"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18.10.13</w:t>
            </w:r>
          </w:p>
          <w:p w:rsidR="00C9439B" w:rsidRPr="00B523E0" w:rsidRDefault="00C9439B" w:rsidP="00BE64A0">
            <w:pPr>
              <w:jc w:val="center"/>
              <w:rPr>
                <w:rFonts w:ascii="Calibri" w:eastAsia="Calibri" w:hAnsi="Calibri" w:cs="Times New Roman"/>
                <w:color w:val="404040" w:themeColor="text1" w:themeTint="BF"/>
                <w:sz w:val="20"/>
                <w:szCs w:val="22"/>
              </w:rPr>
            </w:pP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BB10D6" w:rsidRDefault="00BE64A0" w:rsidP="00910DB7">
            <w:pPr>
              <w:jc w:val="center"/>
              <w:rPr>
                <w:rFonts w:ascii="Calibri" w:eastAsia="Calibri" w:hAnsi="Calibri" w:cs="Times New Roman"/>
                <w:color w:val="404040" w:themeColor="text1" w:themeTint="BF"/>
                <w:sz w:val="20"/>
                <w:szCs w:val="22"/>
              </w:rPr>
            </w:pPr>
            <w:r w:rsidRPr="00BE64A0">
              <w:rPr>
                <w:rFonts w:ascii="Calibri" w:eastAsia="Calibri" w:hAnsi="Calibri" w:cs="Times New Roman"/>
                <w:color w:val="404040" w:themeColor="text1" w:themeTint="BF"/>
                <w:sz w:val="20"/>
                <w:szCs w:val="22"/>
              </w:rPr>
              <w:t>12/01228/FUL</w:t>
            </w:r>
            <w:r w:rsidR="00B53242">
              <w:rPr>
                <w:rFonts w:ascii="Calibri" w:eastAsia="Calibri" w:hAnsi="Calibri" w:cs="Times New Roman"/>
                <w:color w:val="404040" w:themeColor="text1" w:themeTint="BF"/>
                <w:sz w:val="20"/>
                <w:szCs w:val="22"/>
              </w:rPr>
              <w:t xml:space="preserve"> Luther Court</w:t>
            </w:r>
          </w:p>
          <w:p w:rsidR="00B53242" w:rsidRPr="00B523E0" w:rsidRDefault="00B53242" w:rsidP="00910DB7">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Luther Street</w:t>
            </w:r>
          </w:p>
        </w:tc>
        <w:tc>
          <w:tcPr>
            <w:tcW w:w="2835" w:type="dxa"/>
          </w:tcPr>
          <w:p w:rsidR="00AD2C54" w:rsidRPr="00B523E0" w:rsidRDefault="00BE64A0" w:rsidP="00751516">
            <w:pPr>
              <w:rPr>
                <w:rFonts w:ascii="Calibri" w:eastAsia="Calibri" w:hAnsi="Calibri" w:cs="Times New Roman"/>
                <w:color w:val="404040" w:themeColor="text1" w:themeTint="BF"/>
                <w:sz w:val="20"/>
                <w:szCs w:val="22"/>
              </w:rPr>
            </w:pPr>
            <w:r w:rsidRPr="00BE64A0">
              <w:rPr>
                <w:rFonts w:ascii="Calibri" w:eastAsia="Calibri" w:hAnsi="Calibri" w:cs="Times New Roman"/>
                <w:color w:val="404040" w:themeColor="text1" w:themeTint="BF"/>
                <w:sz w:val="20"/>
                <w:szCs w:val="22"/>
              </w:rPr>
              <w:t xml:space="preserve">Erection of new buildings comprising 42 </w:t>
            </w:r>
            <w:r w:rsidR="00751516" w:rsidRPr="00BE64A0">
              <w:rPr>
                <w:rFonts w:ascii="Calibri" w:eastAsia="Calibri" w:hAnsi="Calibri" w:cs="Times New Roman"/>
                <w:color w:val="404040" w:themeColor="text1" w:themeTint="BF"/>
                <w:sz w:val="20"/>
                <w:szCs w:val="22"/>
              </w:rPr>
              <w:t>self-contained</w:t>
            </w:r>
            <w:r w:rsidRPr="00BE64A0">
              <w:rPr>
                <w:rFonts w:ascii="Calibri" w:eastAsia="Calibri" w:hAnsi="Calibri" w:cs="Times New Roman"/>
                <w:color w:val="404040" w:themeColor="text1" w:themeTint="BF"/>
                <w:sz w:val="20"/>
                <w:szCs w:val="22"/>
              </w:rPr>
              <w:t xml:space="preserve"> flats and 82 student study</w:t>
            </w:r>
            <w:r w:rsidR="00751516">
              <w:rPr>
                <w:rFonts w:ascii="Calibri" w:eastAsia="Calibri" w:hAnsi="Calibri" w:cs="Times New Roman"/>
                <w:color w:val="404040" w:themeColor="text1" w:themeTint="BF"/>
                <w:sz w:val="20"/>
                <w:szCs w:val="22"/>
              </w:rPr>
              <w:t xml:space="preserve"> rooms</w:t>
            </w:r>
            <w:r w:rsidRPr="00BE64A0">
              <w:rPr>
                <w:rFonts w:ascii="Calibri" w:eastAsia="Calibri" w:hAnsi="Calibri" w:cs="Times New Roman"/>
                <w:color w:val="404040" w:themeColor="text1" w:themeTint="BF"/>
                <w:sz w:val="20"/>
                <w:szCs w:val="22"/>
              </w:rPr>
              <w:t>.</w:t>
            </w:r>
          </w:p>
        </w:tc>
        <w:tc>
          <w:tcPr>
            <w:tcW w:w="993" w:type="dxa"/>
            <w:shd w:val="clear" w:color="auto" w:fill="auto"/>
          </w:tcPr>
          <w:p w:rsidR="00BB10D6" w:rsidRPr="00B43422" w:rsidRDefault="00CD3873"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9/11</w:t>
            </w:r>
          </w:p>
        </w:tc>
        <w:tc>
          <w:tcPr>
            <w:tcW w:w="3038" w:type="dxa"/>
            <w:shd w:val="clear" w:color="auto" w:fill="auto"/>
          </w:tcPr>
          <w:p w:rsidR="00BB10D6" w:rsidRPr="00B523E0" w:rsidRDefault="00CD3873" w:rsidP="00D82FD9">
            <w:pPr>
              <w:rPr>
                <w:rFonts w:ascii="Calibri" w:eastAsia="Calibri" w:hAnsi="Calibri" w:cs="Times New Roman"/>
                <w:color w:val="404040" w:themeColor="text1" w:themeTint="BF"/>
                <w:sz w:val="20"/>
                <w:szCs w:val="22"/>
              </w:rPr>
            </w:pPr>
            <w:r w:rsidRPr="00CD3873">
              <w:rPr>
                <w:rFonts w:ascii="Calibri" w:eastAsia="Calibri" w:hAnsi="Calibri" w:cs="Times New Roman"/>
                <w:b/>
                <w:color w:val="404040" w:themeColor="text1" w:themeTint="BF"/>
                <w:sz w:val="20"/>
                <w:szCs w:val="22"/>
              </w:rPr>
              <w:t>20%</w:t>
            </w:r>
            <w:r>
              <w:rPr>
                <w:rFonts w:ascii="Calibri" w:eastAsia="Calibri" w:hAnsi="Calibri" w:cs="Times New Roman"/>
                <w:color w:val="404040" w:themeColor="text1" w:themeTint="BF"/>
                <w:sz w:val="20"/>
                <w:szCs w:val="22"/>
              </w:rPr>
              <w:t xml:space="preserve"> of the site’s energy </w:t>
            </w:r>
            <w:r w:rsidR="00D82FD9">
              <w:rPr>
                <w:rFonts w:ascii="Calibri" w:eastAsia="Calibri" w:hAnsi="Calibri" w:cs="Times New Roman"/>
                <w:color w:val="404040" w:themeColor="text1" w:themeTint="BF"/>
                <w:sz w:val="20"/>
                <w:szCs w:val="22"/>
              </w:rPr>
              <w:t>need</w:t>
            </w:r>
            <w:r>
              <w:rPr>
                <w:rFonts w:ascii="Calibri" w:eastAsia="Calibri" w:hAnsi="Calibri" w:cs="Times New Roman"/>
                <w:color w:val="404040" w:themeColor="text1" w:themeTint="BF"/>
                <w:sz w:val="20"/>
                <w:szCs w:val="22"/>
              </w:rPr>
              <w:t>s to be met through a combined heat and power system.</w:t>
            </w:r>
          </w:p>
        </w:tc>
      </w:tr>
      <w:tr w:rsidR="007C21FB" w:rsidTr="00B43422">
        <w:tc>
          <w:tcPr>
            <w:tcW w:w="959" w:type="dxa"/>
          </w:tcPr>
          <w:p w:rsidR="00BB10D6" w:rsidRPr="00B523E0" w:rsidRDefault="00D82FD9"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lastRenderedPageBreak/>
              <w:t>24.05.13</w:t>
            </w:r>
          </w:p>
          <w:p w:rsidR="00C9439B" w:rsidRPr="00B523E0" w:rsidRDefault="00C9439B" w:rsidP="00BE64A0">
            <w:pPr>
              <w:jc w:val="center"/>
              <w:rPr>
                <w:rFonts w:ascii="Calibri" w:eastAsia="Calibri" w:hAnsi="Calibri" w:cs="Times New Roman"/>
                <w:color w:val="404040" w:themeColor="text1" w:themeTint="BF"/>
                <w:sz w:val="20"/>
                <w:szCs w:val="22"/>
              </w:rPr>
            </w:pP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B53242" w:rsidRPr="00B53242" w:rsidRDefault="00D82FD9" w:rsidP="00B53242">
            <w:pPr>
              <w:jc w:val="center"/>
              <w:rPr>
                <w:rFonts w:ascii="Calibri" w:eastAsia="Calibri" w:hAnsi="Calibri" w:cs="Times New Roman"/>
                <w:color w:val="404040" w:themeColor="text1" w:themeTint="BF"/>
                <w:sz w:val="20"/>
                <w:szCs w:val="22"/>
              </w:rPr>
            </w:pPr>
            <w:r w:rsidRPr="00D82FD9">
              <w:rPr>
                <w:rFonts w:ascii="Calibri" w:eastAsia="Calibri" w:hAnsi="Calibri" w:cs="Times New Roman"/>
                <w:color w:val="404040" w:themeColor="text1" w:themeTint="BF"/>
                <w:sz w:val="20"/>
                <w:szCs w:val="22"/>
              </w:rPr>
              <w:t>12/03115/FUL</w:t>
            </w:r>
            <w:r w:rsidR="00B53242">
              <w:rPr>
                <w:rFonts w:ascii="Calibri" w:eastAsia="Calibri" w:hAnsi="Calibri" w:cs="Times New Roman"/>
                <w:color w:val="404040" w:themeColor="text1" w:themeTint="BF"/>
                <w:sz w:val="20"/>
                <w:szCs w:val="22"/>
              </w:rPr>
              <w:t xml:space="preserve"> Plot 8600 &amp;</w:t>
            </w:r>
            <w:r w:rsidR="00B53242" w:rsidRPr="00B53242">
              <w:rPr>
                <w:rFonts w:ascii="Calibri" w:eastAsia="Calibri" w:hAnsi="Calibri" w:cs="Times New Roman"/>
                <w:color w:val="404040" w:themeColor="text1" w:themeTint="BF"/>
                <w:sz w:val="20"/>
                <w:szCs w:val="22"/>
              </w:rPr>
              <w:t xml:space="preserve"> 8400</w:t>
            </w:r>
          </w:p>
          <w:p w:rsidR="00BB10D6" w:rsidRPr="00B523E0" w:rsidRDefault="00B53242" w:rsidP="00B53242">
            <w:pPr>
              <w:jc w:val="center"/>
              <w:rPr>
                <w:rFonts w:ascii="Calibri" w:eastAsia="Calibri" w:hAnsi="Calibri" w:cs="Times New Roman"/>
                <w:color w:val="404040" w:themeColor="text1" w:themeTint="BF"/>
                <w:sz w:val="20"/>
                <w:szCs w:val="22"/>
              </w:rPr>
            </w:pPr>
            <w:r w:rsidRPr="00B53242">
              <w:rPr>
                <w:rFonts w:ascii="Calibri" w:eastAsia="Calibri" w:hAnsi="Calibri" w:cs="Times New Roman"/>
                <w:color w:val="404040" w:themeColor="text1" w:themeTint="BF"/>
                <w:sz w:val="20"/>
                <w:szCs w:val="22"/>
              </w:rPr>
              <w:t xml:space="preserve">Alec </w:t>
            </w:r>
            <w:proofErr w:type="spellStart"/>
            <w:r w:rsidRPr="00B53242">
              <w:rPr>
                <w:rFonts w:ascii="Calibri" w:eastAsia="Calibri" w:hAnsi="Calibri" w:cs="Times New Roman"/>
                <w:color w:val="404040" w:themeColor="text1" w:themeTint="BF"/>
                <w:sz w:val="20"/>
                <w:szCs w:val="22"/>
              </w:rPr>
              <w:t>Issigonis</w:t>
            </w:r>
            <w:proofErr w:type="spellEnd"/>
            <w:r w:rsidRPr="00B53242">
              <w:rPr>
                <w:rFonts w:ascii="Calibri" w:eastAsia="Calibri" w:hAnsi="Calibri" w:cs="Times New Roman"/>
                <w:color w:val="404040" w:themeColor="text1" w:themeTint="BF"/>
                <w:sz w:val="20"/>
                <w:szCs w:val="22"/>
              </w:rPr>
              <w:t xml:space="preserve"> Way</w:t>
            </w:r>
          </w:p>
        </w:tc>
        <w:tc>
          <w:tcPr>
            <w:tcW w:w="2835" w:type="dxa"/>
          </w:tcPr>
          <w:p w:rsidR="00BB10D6" w:rsidRPr="00B523E0" w:rsidRDefault="00D82FD9" w:rsidP="00751516">
            <w:pPr>
              <w:rPr>
                <w:rFonts w:ascii="Calibri" w:eastAsia="Calibri" w:hAnsi="Calibri" w:cs="Times New Roman"/>
                <w:color w:val="404040" w:themeColor="text1" w:themeTint="BF"/>
                <w:sz w:val="20"/>
                <w:szCs w:val="22"/>
              </w:rPr>
            </w:pPr>
            <w:r w:rsidRPr="00D82FD9">
              <w:rPr>
                <w:rFonts w:ascii="Calibri" w:eastAsia="Calibri" w:hAnsi="Calibri" w:cs="Times New Roman"/>
                <w:color w:val="404040" w:themeColor="text1" w:themeTint="BF"/>
                <w:sz w:val="20"/>
                <w:szCs w:val="22"/>
              </w:rPr>
              <w:t>Construction of motor vehicle dealership</w:t>
            </w:r>
            <w:r w:rsidR="00751516">
              <w:rPr>
                <w:rFonts w:ascii="Calibri" w:eastAsia="Calibri" w:hAnsi="Calibri" w:cs="Times New Roman"/>
                <w:color w:val="404040" w:themeColor="text1" w:themeTint="BF"/>
                <w:sz w:val="20"/>
                <w:szCs w:val="22"/>
              </w:rPr>
              <w:t>.</w:t>
            </w:r>
          </w:p>
        </w:tc>
        <w:tc>
          <w:tcPr>
            <w:tcW w:w="993" w:type="dxa"/>
            <w:shd w:val="clear" w:color="auto" w:fill="auto"/>
          </w:tcPr>
          <w:p w:rsidR="00BB10D6" w:rsidRPr="00B43422" w:rsidRDefault="00D82FD9"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8/11</w:t>
            </w:r>
          </w:p>
        </w:tc>
        <w:tc>
          <w:tcPr>
            <w:tcW w:w="3038" w:type="dxa"/>
            <w:shd w:val="clear" w:color="auto" w:fill="auto"/>
          </w:tcPr>
          <w:p w:rsidR="00D82FD9" w:rsidRPr="00B523E0" w:rsidRDefault="00D82FD9" w:rsidP="00910DB7">
            <w:pPr>
              <w:rPr>
                <w:rFonts w:ascii="Calibri" w:eastAsia="Calibri" w:hAnsi="Calibri" w:cs="Times New Roman"/>
                <w:color w:val="404040" w:themeColor="text1" w:themeTint="BF"/>
                <w:sz w:val="20"/>
                <w:szCs w:val="22"/>
              </w:rPr>
            </w:pPr>
            <w:r w:rsidRPr="002A5307">
              <w:rPr>
                <w:rFonts w:ascii="Calibri" w:eastAsia="Calibri" w:hAnsi="Calibri" w:cs="Times New Roman"/>
                <w:b/>
                <w:color w:val="404040" w:themeColor="text1" w:themeTint="BF"/>
                <w:sz w:val="20"/>
                <w:szCs w:val="22"/>
              </w:rPr>
              <w:t>21.5%</w:t>
            </w:r>
            <w:r>
              <w:rPr>
                <w:rFonts w:ascii="Calibri" w:eastAsia="Calibri" w:hAnsi="Calibri" w:cs="Times New Roman"/>
                <w:color w:val="404040" w:themeColor="text1" w:themeTint="BF"/>
                <w:sz w:val="20"/>
                <w:szCs w:val="22"/>
              </w:rPr>
              <w:t xml:space="preserve"> of the site’s energy needs to be met through a combination </w:t>
            </w:r>
            <w:r w:rsidR="00A838F8" w:rsidRPr="00A838F8">
              <w:rPr>
                <w:rFonts w:ascii="Calibri" w:eastAsia="Calibri" w:hAnsi="Calibri" w:cs="Calibri"/>
                <w:b/>
                <w:noProof/>
                <w:color w:val="000000"/>
                <w:sz w:val="32"/>
                <w:szCs w:val="32"/>
                <w:lang w:eastAsia="en-GB"/>
              </w:rPr>
              <mc:AlternateContent>
                <mc:Choice Requires="wps">
                  <w:drawing>
                    <wp:anchor distT="0" distB="0" distL="114300" distR="114300" simplePos="0" relativeHeight="251876352" behindDoc="0" locked="0" layoutInCell="1" allowOverlap="1" wp14:anchorId="02A64F5F" wp14:editId="413F96D9">
                      <wp:simplePos x="0" y="0"/>
                      <wp:positionH relativeFrom="column">
                        <wp:posOffset>-508635</wp:posOffset>
                      </wp:positionH>
                      <wp:positionV relativeFrom="paragraph">
                        <wp:posOffset>-600710</wp:posOffset>
                      </wp:positionV>
                      <wp:extent cx="2427605" cy="352425"/>
                      <wp:effectExtent l="0" t="0" r="0" b="9525"/>
                      <wp:wrapNone/>
                      <wp:docPr id="217" name="Text Box 217"/>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A838F8">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7" o:spid="_x0000_s1071" type="#_x0000_t202" style="position:absolute;margin-left:-40.05pt;margin-top:-47.3pt;width:191.15pt;height:27.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" fillcolor="window" stroked="f" strokeweight=".5pt">
                      <v:textbox>
                        <w:txbxContent>
                          <w:p w:rsidR="000D3CFF" w:rsidRPr="00483A60" w:rsidRDefault="000D3CFF" w:rsidP="00A838F8">
                            <w:pPr>
                              <w:jc w:val="right"/>
                              <w:rPr>
                                <w:b/>
                                <w:color w:val="4F6228" w:themeColor="accent3" w:themeShade="80"/>
                              </w:rPr>
                            </w:pPr>
                            <w:r w:rsidRPr="00483A60">
                              <w:rPr>
                                <w:b/>
                                <w:color w:val="4F6228" w:themeColor="accent3" w:themeShade="80"/>
                              </w:rPr>
                              <w:t>Cleaner, Greener Oxford</w:t>
                            </w:r>
                          </w:p>
                        </w:txbxContent>
                      </v:textbox>
                    </v:shape>
                  </w:pict>
                </mc:Fallback>
              </mc:AlternateContent>
            </w:r>
            <w:r>
              <w:rPr>
                <w:rFonts w:ascii="Calibri" w:eastAsia="Calibri" w:hAnsi="Calibri" w:cs="Times New Roman"/>
                <w:color w:val="404040" w:themeColor="text1" w:themeTint="BF"/>
                <w:sz w:val="20"/>
                <w:szCs w:val="22"/>
              </w:rPr>
              <w:t>of heat pump technology and biofuel Combined Heat and Power.</w:t>
            </w:r>
          </w:p>
        </w:tc>
      </w:tr>
      <w:tr w:rsidR="007C21FB" w:rsidTr="00B43422">
        <w:tc>
          <w:tcPr>
            <w:tcW w:w="959" w:type="dxa"/>
          </w:tcPr>
          <w:p w:rsidR="00BB10D6" w:rsidRPr="00B523E0" w:rsidRDefault="007C21FB"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25.09</w:t>
            </w:r>
            <w:r w:rsidR="003A5E42">
              <w:rPr>
                <w:rFonts w:ascii="Calibri" w:eastAsia="Calibri" w:hAnsi="Calibri" w:cs="Times New Roman"/>
                <w:color w:val="404040" w:themeColor="text1" w:themeTint="BF"/>
                <w:sz w:val="20"/>
                <w:szCs w:val="22"/>
              </w:rPr>
              <w:t>.13</w:t>
            </w:r>
          </w:p>
          <w:p w:rsidR="00C9439B" w:rsidRPr="00B523E0" w:rsidRDefault="00C9439B" w:rsidP="00BE64A0">
            <w:pPr>
              <w:jc w:val="center"/>
              <w:rPr>
                <w:rFonts w:ascii="Calibri" w:eastAsia="Calibri" w:hAnsi="Calibri" w:cs="Times New Roman"/>
                <w:color w:val="404040" w:themeColor="text1" w:themeTint="BF"/>
                <w:sz w:val="20"/>
                <w:szCs w:val="22"/>
              </w:rPr>
            </w:pPr>
          </w:p>
          <w:p w:rsidR="00C9439B" w:rsidRPr="00B523E0" w:rsidRDefault="00C9439B" w:rsidP="00BE64A0">
            <w:pPr>
              <w:jc w:val="center"/>
              <w:rPr>
                <w:rFonts w:ascii="Calibri" w:eastAsia="Calibri" w:hAnsi="Calibri" w:cs="Times New Roman"/>
                <w:color w:val="404040" w:themeColor="text1" w:themeTint="BF"/>
                <w:sz w:val="20"/>
                <w:szCs w:val="22"/>
              </w:rPr>
            </w:pPr>
          </w:p>
        </w:tc>
        <w:tc>
          <w:tcPr>
            <w:tcW w:w="1417" w:type="dxa"/>
          </w:tcPr>
          <w:p w:rsidR="00B53242" w:rsidRPr="00B53242" w:rsidRDefault="003A5E42"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12/03278/FUL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 xml:space="preserve">Former </w:t>
            </w:r>
            <w:proofErr w:type="spellStart"/>
            <w:r w:rsidR="00B53242" w:rsidRPr="00B53242">
              <w:rPr>
                <w:rFonts w:ascii="Calibri" w:eastAsia="Calibri" w:hAnsi="Calibri" w:cs="Times New Roman"/>
                <w:color w:val="404040" w:themeColor="text1" w:themeTint="BF"/>
                <w:sz w:val="20"/>
                <w:szCs w:val="22"/>
              </w:rPr>
              <w:t>Cowley</w:t>
            </w:r>
            <w:proofErr w:type="spellEnd"/>
            <w:r w:rsidR="00B53242" w:rsidRPr="00B53242">
              <w:rPr>
                <w:rFonts w:ascii="Calibri" w:eastAsia="Calibri" w:hAnsi="Calibri" w:cs="Times New Roman"/>
                <w:color w:val="404040" w:themeColor="text1" w:themeTint="BF"/>
                <w:sz w:val="20"/>
                <w:szCs w:val="22"/>
              </w:rPr>
              <w:t xml:space="preserve"> Community Centre</w:t>
            </w:r>
          </w:p>
          <w:p w:rsidR="00BB10D6" w:rsidRPr="00B523E0" w:rsidRDefault="00B53242" w:rsidP="00B53242">
            <w:pPr>
              <w:jc w:val="center"/>
              <w:rPr>
                <w:rFonts w:ascii="Calibri" w:eastAsia="Calibri" w:hAnsi="Calibri" w:cs="Times New Roman"/>
                <w:color w:val="404040" w:themeColor="text1" w:themeTint="BF"/>
                <w:sz w:val="20"/>
                <w:szCs w:val="22"/>
              </w:rPr>
            </w:pPr>
            <w:r w:rsidRPr="00B53242">
              <w:rPr>
                <w:rFonts w:ascii="Calibri" w:eastAsia="Calibri" w:hAnsi="Calibri" w:cs="Times New Roman"/>
                <w:color w:val="404040" w:themeColor="text1" w:themeTint="BF"/>
                <w:sz w:val="20"/>
                <w:szCs w:val="22"/>
              </w:rPr>
              <w:t>Barns Road</w:t>
            </w:r>
          </w:p>
        </w:tc>
        <w:tc>
          <w:tcPr>
            <w:tcW w:w="2835" w:type="dxa"/>
          </w:tcPr>
          <w:p w:rsidR="00BB10D6" w:rsidRPr="00B523E0" w:rsidRDefault="00540689" w:rsidP="00751516">
            <w:pPr>
              <w:rPr>
                <w:rFonts w:ascii="Calibri" w:eastAsia="Calibri" w:hAnsi="Calibri" w:cs="Times New Roman"/>
                <w:color w:val="404040" w:themeColor="text1" w:themeTint="BF"/>
                <w:sz w:val="20"/>
                <w:szCs w:val="22"/>
              </w:rPr>
            </w:pPr>
            <w:r w:rsidRPr="00540689">
              <w:rPr>
                <w:rFonts w:ascii="Calibri" w:eastAsia="Calibri" w:hAnsi="Calibri" w:cs="Times New Roman"/>
                <w:color w:val="404040" w:themeColor="text1" w:themeTint="BF"/>
                <w:sz w:val="20"/>
                <w:szCs w:val="22"/>
              </w:rPr>
              <w:t>Erection of 4 storey buildi</w:t>
            </w:r>
            <w:r w:rsidR="00751516">
              <w:rPr>
                <w:rFonts w:ascii="Calibri" w:eastAsia="Calibri" w:hAnsi="Calibri" w:cs="Times New Roman"/>
                <w:color w:val="404040" w:themeColor="text1" w:themeTint="BF"/>
                <w:sz w:val="20"/>
                <w:szCs w:val="22"/>
              </w:rPr>
              <w:t xml:space="preserve">ng comprising community centre, </w:t>
            </w:r>
            <w:r w:rsidRPr="00540689">
              <w:rPr>
                <w:rFonts w:ascii="Calibri" w:eastAsia="Calibri" w:hAnsi="Calibri" w:cs="Times New Roman"/>
                <w:color w:val="404040" w:themeColor="text1" w:themeTint="BF"/>
                <w:sz w:val="20"/>
                <w:szCs w:val="22"/>
              </w:rPr>
              <w:t>retail and workshop unit  on ground floor together with 40 "car-free" residential flats</w:t>
            </w:r>
            <w:r>
              <w:rPr>
                <w:rFonts w:ascii="Calibri" w:eastAsia="Calibri" w:hAnsi="Calibri" w:cs="Times New Roman"/>
                <w:color w:val="404040" w:themeColor="text1" w:themeTint="BF"/>
                <w:sz w:val="20"/>
                <w:szCs w:val="22"/>
              </w:rPr>
              <w:t>.</w:t>
            </w:r>
          </w:p>
        </w:tc>
        <w:tc>
          <w:tcPr>
            <w:tcW w:w="993" w:type="dxa"/>
            <w:shd w:val="clear" w:color="auto" w:fill="auto"/>
          </w:tcPr>
          <w:p w:rsidR="00BB10D6" w:rsidRPr="00B43422" w:rsidRDefault="003A5E42"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8/11</w:t>
            </w:r>
          </w:p>
        </w:tc>
        <w:tc>
          <w:tcPr>
            <w:tcW w:w="3038" w:type="dxa"/>
            <w:shd w:val="clear" w:color="auto" w:fill="auto"/>
          </w:tcPr>
          <w:p w:rsidR="00540689" w:rsidRDefault="00540689" w:rsidP="00910DB7">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At least 20%</w:t>
            </w:r>
            <w:r>
              <w:rPr>
                <w:rFonts w:ascii="Calibri" w:eastAsia="Calibri" w:hAnsi="Calibri" w:cs="Times New Roman"/>
                <w:color w:val="404040" w:themeColor="text1" w:themeTint="BF"/>
                <w:sz w:val="20"/>
                <w:szCs w:val="22"/>
              </w:rPr>
              <w:t xml:space="preserve"> of the community centre and workshop unit’s energy needs to be met by an air source heat pump.</w:t>
            </w:r>
          </w:p>
          <w:p w:rsidR="005F719B" w:rsidRPr="005F719B" w:rsidRDefault="005F719B" w:rsidP="00910DB7">
            <w:pPr>
              <w:rPr>
                <w:rFonts w:ascii="Calibri" w:eastAsia="Calibri" w:hAnsi="Calibri" w:cs="Times New Roman"/>
                <w:color w:val="404040" w:themeColor="text1" w:themeTint="BF"/>
                <w:sz w:val="8"/>
                <w:szCs w:val="8"/>
              </w:rPr>
            </w:pPr>
          </w:p>
          <w:p w:rsidR="005F719B" w:rsidRDefault="003A5E42" w:rsidP="00910DB7">
            <w:pPr>
              <w:rPr>
                <w:rFonts w:ascii="Calibri" w:eastAsia="Calibri" w:hAnsi="Calibri" w:cs="Times New Roman"/>
                <w:color w:val="404040" w:themeColor="text1" w:themeTint="BF"/>
                <w:sz w:val="20"/>
                <w:szCs w:val="22"/>
              </w:rPr>
            </w:pPr>
            <w:r w:rsidRPr="003A5E42">
              <w:rPr>
                <w:rFonts w:ascii="Calibri" w:eastAsia="Calibri" w:hAnsi="Calibri" w:cs="Times New Roman"/>
                <w:color w:val="404040" w:themeColor="text1" w:themeTint="BF"/>
                <w:sz w:val="20"/>
                <w:szCs w:val="22"/>
              </w:rPr>
              <w:t>Solar panels on the roof of the building will not result in the flats ge</w:t>
            </w:r>
            <w:r w:rsidR="005F719B">
              <w:rPr>
                <w:rFonts w:ascii="Calibri" w:eastAsia="Calibri" w:hAnsi="Calibri" w:cs="Times New Roman"/>
                <w:color w:val="404040" w:themeColor="text1" w:themeTint="BF"/>
                <w:sz w:val="20"/>
                <w:szCs w:val="22"/>
              </w:rPr>
              <w:t>nerating 20% of their energy needs</w:t>
            </w:r>
            <w:r w:rsidRPr="003A5E42">
              <w:rPr>
                <w:rFonts w:ascii="Calibri" w:eastAsia="Calibri" w:hAnsi="Calibri" w:cs="Times New Roman"/>
                <w:color w:val="404040" w:themeColor="text1" w:themeTint="BF"/>
                <w:sz w:val="20"/>
                <w:szCs w:val="22"/>
              </w:rPr>
              <w:t xml:space="preserve"> on site. Other methods of on-site energy generation were assessed and found to be inappropriate for a number of reasons. </w:t>
            </w:r>
          </w:p>
          <w:p w:rsidR="005F719B" w:rsidRPr="005F719B" w:rsidRDefault="005F719B" w:rsidP="00910DB7">
            <w:pPr>
              <w:rPr>
                <w:rFonts w:ascii="Calibri" w:eastAsia="Calibri" w:hAnsi="Calibri" w:cs="Times New Roman"/>
                <w:color w:val="404040" w:themeColor="text1" w:themeTint="BF"/>
                <w:sz w:val="8"/>
                <w:szCs w:val="8"/>
              </w:rPr>
            </w:pPr>
          </w:p>
          <w:p w:rsidR="00BB10D6" w:rsidRPr="00540689" w:rsidRDefault="003A5E42" w:rsidP="00910DB7">
            <w:pPr>
              <w:rPr>
                <w:rFonts w:ascii="Calibri" w:eastAsia="Calibri" w:hAnsi="Calibri" w:cs="Times New Roman"/>
                <w:color w:val="404040" w:themeColor="text1" w:themeTint="BF"/>
                <w:sz w:val="20"/>
                <w:szCs w:val="22"/>
              </w:rPr>
            </w:pPr>
            <w:r w:rsidRPr="003A5E42">
              <w:rPr>
                <w:rFonts w:ascii="Calibri" w:eastAsia="Calibri" w:hAnsi="Calibri" w:cs="Times New Roman"/>
                <w:color w:val="404040" w:themeColor="text1" w:themeTint="BF"/>
                <w:sz w:val="20"/>
                <w:szCs w:val="22"/>
              </w:rPr>
              <w:t>Whilst the Council’s policy requirement is not quite met with respect to the residential element of the scheme, this is partially offset by the community centre and workshop elements which exceed the planning policy criteria.</w:t>
            </w:r>
          </w:p>
        </w:tc>
      </w:tr>
      <w:tr w:rsidR="003A5E42" w:rsidTr="00B43422">
        <w:tc>
          <w:tcPr>
            <w:tcW w:w="959" w:type="dxa"/>
          </w:tcPr>
          <w:p w:rsidR="003A5E42" w:rsidRDefault="007C21FB"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25.09.</w:t>
            </w:r>
            <w:r w:rsidR="00751516">
              <w:rPr>
                <w:rFonts w:ascii="Calibri" w:eastAsia="Calibri" w:hAnsi="Calibri" w:cs="Times New Roman"/>
                <w:color w:val="404040" w:themeColor="text1" w:themeTint="BF"/>
                <w:sz w:val="20"/>
                <w:szCs w:val="22"/>
              </w:rPr>
              <w:t>13</w:t>
            </w:r>
          </w:p>
        </w:tc>
        <w:tc>
          <w:tcPr>
            <w:tcW w:w="1417" w:type="dxa"/>
          </w:tcPr>
          <w:p w:rsidR="00B53242" w:rsidRPr="00B53242" w:rsidRDefault="00751516"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12/03280/FUL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Northway Centre</w:t>
            </w:r>
          </w:p>
          <w:p w:rsidR="003A5E42" w:rsidRDefault="00B53242" w:rsidP="00B53242">
            <w:pPr>
              <w:jc w:val="center"/>
              <w:rPr>
                <w:rFonts w:ascii="Calibri" w:eastAsia="Calibri" w:hAnsi="Calibri" w:cs="Times New Roman"/>
                <w:color w:val="404040" w:themeColor="text1" w:themeTint="BF"/>
                <w:sz w:val="20"/>
                <w:szCs w:val="22"/>
              </w:rPr>
            </w:pPr>
            <w:proofErr w:type="spellStart"/>
            <w:r w:rsidRPr="00B53242">
              <w:rPr>
                <w:rFonts w:ascii="Calibri" w:eastAsia="Calibri" w:hAnsi="Calibri" w:cs="Times New Roman"/>
                <w:color w:val="404040" w:themeColor="text1" w:themeTint="BF"/>
                <w:sz w:val="20"/>
                <w:szCs w:val="22"/>
              </w:rPr>
              <w:t>Maltfield</w:t>
            </w:r>
            <w:proofErr w:type="spellEnd"/>
            <w:r w:rsidRPr="00B53242">
              <w:rPr>
                <w:rFonts w:ascii="Calibri" w:eastAsia="Calibri" w:hAnsi="Calibri" w:cs="Times New Roman"/>
                <w:color w:val="404040" w:themeColor="text1" w:themeTint="BF"/>
                <w:sz w:val="20"/>
                <w:szCs w:val="22"/>
              </w:rPr>
              <w:t xml:space="preserve"> Road</w:t>
            </w:r>
          </w:p>
        </w:tc>
        <w:tc>
          <w:tcPr>
            <w:tcW w:w="2835" w:type="dxa"/>
          </w:tcPr>
          <w:p w:rsidR="003A5E42" w:rsidRPr="00540689" w:rsidRDefault="00751516" w:rsidP="0054611A">
            <w:pPr>
              <w:rPr>
                <w:rFonts w:ascii="Calibri" w:eastAsia="Calibri" w:hAnsi="Calibri" w:cs="Times New Roman"/>
                <w:color w:val="404040" w:themeColor="text1" w:themeTint="BF"/>
                <w:sz w:val="20"/>
                <w:szCs w:val="22"/>
              </w:rPr>
            </w:pPr>
            <w:r w:rsidRPr="00751516">
              <w:rPr>
                <w:rFonts w:ascii="Calibri" w:eastAsia="Calibri" w:hAnsi="Calibri" w:cs="Times New Roman"/>
                <w:color w:val="404040" w:themeColor="text1" w:themeTint="BF"/>
                <w:sz w:val="20"/>
                <w:szCs w:val="22"/>
              </w:rPr>
              <w:t xml:space="preserve">Demolition of existing buildings.  Erection of 47 residential units </w:t>
            </w:r>
            <w:r w:rsidR="0054611A">
              <w:rPr>
                <w:rFonts w:ascii="Calibri" w:eastAsia="Calibri" w:hAnsi="Calibri" w:cs="Times New Roman"/>
                <w:color w:val="404040" w:themeColor="text1" w:themeTint="BF"/>
                <w:sz w:val="20"/>
                <w:szCs w:val="22"/>
              </w:rPr>
              <w:t xml:space="preserve">and </w:t>
            </w:r>
            <w:r w:rsidRPr="00751516">
              <w:rPr>
                <w:rFonts w:ascii="Calibri" w:eastAsia="Calibri" w:hAnsi="Calibri" w:cs="Times New Roman"/>
                <w:color w:val="404040" w:themeColor="text1" w:themeTint="BF"/>
                <w:sz w:val="20"/>
                <w:szCs w:val="22"/>
              </w:rPr>
              <w:t>community centre</w:t>
            </w:r>
            <w:r>
              <w:rPr>
                <w:rFonts w:ascii="Calibri" w:eastAsia="Calibri" w:hAnsi="Calibri" w:cs="Times New Roman"/>
                <w:color w:val="404040" w:themeColor="text1" w:themeTint="BF"/>
                <w:sz w:val="20"/>
                <w:szCs w:val="22"/>
              </w:rPr>
              <w:t>.</w:t>
            </w:r>
          </w:p>
        </w:tc>
        <w:tc>
          <w:tcPr>
            <w:tcW w:w="993" w:type="dxa"/>
            <w:shd w:val="clear" w:color="auto" w:fill="auto"/>
          </w:tcPr>
          <w:p w:rsidR="003A5E42" w:rsidRPr="00B43422" w:rsidRDefault="00666DC4"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10/11</w:t>
            </w:r>
          </w:p>
        </w:tc>
        <w:tc>
          <w:tcPr>
            <w:tcW w:w="3038" w:type="dxa"/>
            <w:shd w:val="clear" w:color="auto" w:fill="auto"/>
          </w:tcPr>
          <w:p w:rsidR="003A5E42" w:rsidRDefault="0054611A" w:rsidP="00910DB7">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53%</w:t>
            </w:r>
            <w:r>
              <w:rPr>
                <w:rFonts w:ascii="Calibri" w:eastAsia="Calibri" w:hAnsi="Calibri" w:cs="Times New Roman"/>
                <w:color w:val="404040" w:themeColor="text1" w:themeTint="BF"/>
                <w:sz w:val="20"/>
                <w:szCs w:val="22"/>
              </w:rPr>
              <w:t xml:space="preserve"> of the community centre’s energy needs to be met by PV solar panels and air source heat pumps.</w:t>
            </w:r>
          </w:p>
          <w:p w:rsidR="0054611A" w:rsidRPr="0054611A" w:rsidRDefault="0054611A" w:rsidP="00666DC4">
            <w:pPr>
              <w:rPr>
                <w:rFonts w:ascii="Calibri" w:eastAsia="Calibri" w:hAnsi="Calibri" w:cs="Times New Roman"/>
                <w:color w:val="404040" w:themeColor="text1" w:themeTint="BF"/>
                <w:sz w:val="20"/>
                <w:szCs w:val="22"/>
              </w:rPr>
            </w:pPr>
            <w:r w:rsidRPr="0054611A">
              <w:rPr>
                <w:rFonts w:ascii="Calibri" w:eastAsia="Calibri" w:hAnsi="Calibri" w:cs="Times New Roman"/>
                <w:b/>
                <w:color w:val="404040" w:themeColor="text1" w:themeTint="BF"/>
                <w:sz w:val="20"/>
                <w:szCs w:val="22"/>
              </w:rPr>
              <w:t>10%</w:t>
            </w:r>
            <w:r>
              <w:rPr>
                <w:rFonts w:ascii="Calibri" w:eastAsia="Calibri" w:hAnsi="Calibri" w:cs="Times New Roman"/>
                <w:color w:val="404040" w:themeColor="text1" w:themeTint="BF"/>
                <w:sz w:val="20"/>
                <w:szCs w:val="22"/>
              </w:rPr>
              <w:t xml:space="preserve"> of the residential unit’s energy needs to be met by a large solar PV array. Other renewable energy</w:t>
            </w:r>
            <w:r w:rsidR="00666DC4">
              <w:rPr>
                <w:rFonts w:ascii="Calibri" w:eastAsia="Calibri" w:hAnsi="Calibri" w:cs="Times New Roman"/>
                <w:color w:val="404040" w:themeColor="text1" w:themeTint="BF"/>
                <w:sz w:val="20"/>
                <w:szCs w:val="22"/>
              </w:rPr>
              <w:t xml:space="preserve"> sources have been considered but</w:t>
            </w:r>
            <w:r>
              <w:rPr>
                <w:rFonts w:ascii="Calibri" w:eastAsia="Calibri" w:hAnsi="Calibri" w:cs="Times New Roman"/>
                <w:color w:val="404040" w:themeColor="text1" w:themeTint="BF"/>
                <w:sz w:val="20"/>
                <w:szCs w:val="22"/>
              </w:rPr>
              <w:t xml:space="preserve"> were found to be technically and finically unviable. However, sustainable building methods </w:t>
            </w:r>
            <w:r w:rsidR="00666DC4">
              <w:rPr>
                <w:rFonts w:ascii="Calibri" w:eastAsia="Calibri" w:hAnsi="Calibri" w:cs="Times New Roman"/>
                <w:color w:val="404040" w:themeColor="text1" w:themeTint="BF"/>
                <w:sz w:val="20"/>
                <w:szCs w:val="22"/>
              </w:rPr>
              <w:t>will be</w:t>
            </w:r>
            <w:r>
              <w:rPr>
                <w:rFonts w:ascii="Calibri" w:eastAsia="Calibri" w:hAnsi="Calibri" w:cs="Times New Roman"/>
                <w:color w:val="404040" w:themeColor="text1" w:themeTint="BF"/>
                <w:sz w:val="20"/>
                <w:szCs w:val="22"/>
              </w:rPr>
              <w:t xml:space="preserve"> used and the community building </w:t>
            </w:r>
            <w:r w:rsidR="00666DC4">
              <w:rPr>
                <w:rFonts w:ascii="Calibri" w:eastAsia="Calibri" w:hAnsi="Calibri" w:cs="Times New Roman"/>
                <w:color w:val="404040" w:themeColor="text1" w:themeTint="BF"/>
                <w:sz w:val="20"/>
                <w:szCs w:val="22"/>
              </w:rPr>
              <w:t>contributes significantly to the renewable energy provisions for the site overall.</w:t>
            </w:r>
            <w:r>
              <w:rPr>
                <w:rFonts w:ascii="Calibri" w:eastAsia="Calibri" w:hAnsi="Calibri" w:cs="Times New Roman"/>
                <w:color w:val="404040" w:themeColor="text1" w:themeTint="BF"/>
                <w:sz w:val="20"/>
                <w:szCs w:val="22"/>
              </w:rPr>
              <w:t xml:space="preserve"> </w:t>
            </w:r>
          </w:p>
        </w:tc>
      </w:tr>
      <w:tr w:rsidR="003A5E42" w:rsidTr="00B43422">
        <w:tc>
          <w:tcPr>
            <w:tcW w:w="959" w:type="dxa"/>
          </w:tcPr>
          <w:p w:rsidR="003A5E42" w:rsidRDefault="007C21FB"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25.09.13</w:t>
            </w:r>
          </w:p>
        </w:tc>
        <w:tc>
          <w:tcPr>
            <w:tcW w:w="1417" w:type="dxa"/>
          </w:tcPr>
          <w:p w:rsidR="00B53242" w:rsidRPr="00B53242" w:rsidRDefault="007C21FB" w:rsidP="00B53242">
            <w:pPr>
              <w:jc w:val="center"/>
              <w:rPr>
                <w:rFonts w:ascii="Calibri" w:eastAsia="Calibri" w:hAnsi="Calibri" w:cs="Times New Roman"/>
                <w:color w:val="404040" w:themeColor="text1" w:themeTint="BF"/>
                <w:sz w:val="20"/>
                <w:szCs w:val="22"/>
              </w:rPr>
            </w:pPr>
            <w:r w:rsidRPr="007C21FB">
              <w:rPr>
                <w:rFonts w:ascii="Calibri" w:eastAsia="Calibri" w:hAnsi="Calibri" w:cs="Times New Roman"/>
                <w:color w:val="404040" w:themeColor="text1" w:themeTint="BF"/>
                <w:sz w:val="20"/>
                <w:szCs w:val="22"/>
              </w:rPr>
              <w:t>12/03281/FUL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Former Community Centre</w:t>
            </w:r>
          </w:p>
          <w:p w:rsidR="003A5E42" w:rsidRDefault="00B53242" w:rsidP="00B53242">
            <w:pPr>
              <w:jc w:val="center"/>
              <w:rPr>
                <w:rFonts w:ascii="Calibri" w:eastAsia="Calibri" w:hAnsi="Calibri" w:cs="Times New Roman"/>
                <w:color w:val="404040" w:themeColor="text1" w:themeTint="BF"/>
                <w:sz w:val="20"/>
                <w:szCs w:val="22"/>
              </w:rPr>
            </w:pPr>
            <w:proofErr w:type="spellStart"/>
            <w:r w:rsidRPr="00B53242">
              <w:rPr>
                <w:rFonts w:ascii="Calibri" w:eastAsia="Calibri" w:hAnsi="Calibri" w:cs="Times New Roman"/>
                <w:color w:val="404040" w:themeColor="text1" w:themeTint="BF"/>
                <w:sz w:val="20"/>
                <w:szCs w:val="22"/>
              </w:rPr>
              <w:t>Westlands</w:t>
            </w:r>
            <w:proofErr w:type="spellEnd"/>
            <w:r w:rsidRPr="00B53242">
              <w:rPr>
                <w:rFonts w:ascii="Calibri" w:eastAsia="Calibri" w:hAnsi="Calibri" w:cs="Times New Roman"/>
                <w:color w:val="404040" w:themeColor="text1" w:themeTint="BF"/>
                <w:sz w:val="20"/>
                <w:szCs w:val="22"/>
              </w:rPr>
              <w:t xml:space="preserve"> Drive</w:t>
            </w:r>
          </w:p>
        </w:tc>
        <w:tc>
          <w:tcPr>
            <w:tcW w:w="2835" w:type="dxa"/>
          </w:tcPr>
          <w:p w:rsidR="003A5E42" w:rsidRPr="00540689" w:rsidRDefault="007C21FB" w:rsidP="00F044E5">
            <w:pPr>
              <w:rPr>
                <w:rFonts w:ascii="Calibri" w:eastAsia="Calibri" w:hAnsi="Calibri" w:cs="Times New Roman"/>
                <w:color w:val="404040" w:themeColor="text1" w:themeTint="BF"/>
                <w:sz w:val="20"/>
                <w:szCs w:val="22"/>
              </w:rPr>
            </w:pPr>
            <w:r w:rsidRPr="007C21FB">
              <w:rPr>
                <w:rFonts w:ascii="Calibri" w:eastAsia="Calibri" w:hAnsi="Calibri" w:cs="Times New Roman"/>
                <w:color w:val="404040" w:themeColor="text1" w:themeTint="BF"/>
                <w:sz w:val="20"/>
                <w:szCs w:val="22"/>
              </w:rPr>
              <w:t>Demolition of existing building.  Erection of 21 flats</w:t>
            </w:r>
            <w:r w:rsidR="00F044E5">
              <w:rPr>
                <w:rFonts w:ascii="Calibri" w:eastAsia="Calibri" w:hAnsi="Calibri" w:cs="Times New Roman"/>
                <w:color w:val="404040" w:themeColor="text1" w:themeTint="BF"/>
                <w:sz w:val="20"/>
                <w:szCs w:val="22"/>
              </w:rPr>
              <w:t>.</w:t>
            </w:r>
          </w:p>
        </w:tc>
        <w:tc>
          <w:tcPr>
            <w:tcW w:w="993" w:type="dxa"/>
            <w:shd w:val="clear" w:color="auto" w:fill="auto"/>
          </w:tcPr>
          <w:p w:rsidR="003A5E42" w:rsidRPr="00B43422" w:rsidRDefault="00856B37" w:rsidP="00A838F8">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w:t>
            </w:r>
          </w:p>
        </w:tc>
        <w:tc>
          <w:tcPr>
            <w:tcW w:w="3038" w:type="dxa"/>
            <w:shd w:val="clear" w:color="auto" w:fill="auto"/>
          </w:tcPr>
          <w:p w:rsidR="003A5E42" w:rsidRPr="00F044E5" w:rsidRDefault="00F044E5" w:rsidP="00910DB7">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10%</w:t>
            </w:r>
            <w:r>
              <w:rPr>
                <w:rFonts w:ascii="Calibri" w:eastAsia="Calibri" w:hAnsi="Calibri" w:cs="Times New Roman"/>
                <w:color w:val="404040" w:themeColor="text1" w:themeTint="BF"/>
                <w:sz w:val="20"/>
                <w:szCs w:val="22"/>
              </w:rPr>
              <w:t xml:space="preserve"> of the site’s energy needs to be met by a large solar PV array. </w:t>
            </w:r>
            <w:r w:rsidRPr="00F044E5">
              <w:rPr>
                <w:rFonts w:ascii="Calibri" w:eastAsia="Calibri" w:hAnsi="Calibri" w:cs="Times New Roman"/>
                <w:color w:val="404040" w:themeColor="text1" w:themeTint="BF"/>
                <w:sz w:val="20"/>
                <w:szCs w:val="22"/>
              </w:rPr>
              <w:t>The Energy Strategy states that the alternative renewable energy options to achieve the 20%</w:t>
            </w:r>
            <w:r w:rsidR="005F719B">
              <w:rPr>
                <w:rFonts w:ascii="Calibri" w:eastAsia="Calibri" w:hAnsi="Calibri" w:cs="Times New Roman"/>
                <w:color w:val="404040" w:themeColor="text1" w:themeTint="BF"/>
                <w:sz w:val="20"/>
                <w:szCs w:val="22"/>
              </w:rPr>
              <w:t xml:space="preserve"> target </w:t>
            </w:r>
            <w:r w:rsidRPr="00F044E5">
              <w:rPr>
                <w:rFonts w:ascii="Calibri" w:eastAsia="Calibri" w:hAnsi="Calibri" w:cs="Times New Roman"/>
                <w:color w:val="404040" w:themeColor="text1" w:themeTint="BF"/>
                <w:sz w:val="20"/>
                <w:szCs w:val="22"/>
              </w:rPr>
              <w:t>are deemed to be technically and financially unfeasible and instead the strategy focuses on improving the fabric of the new building and using high efficiency systems.</w:t>
            </w:r>
          </w:p>
        </w:tc>
      </w:tr>
      <w:tr w:rsidR="003A5E42" w:rsidTr="00B43422">
        <w:tc>
          <w:tcPr>
            <w:tcW w:w="959" w:type="dxa"/>
          </w:tcPr>
          <w:p w:rsidR="003A5E42" w:rsidRDefault="002A5307"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23.05.13</w:t>
            </w:r>
          </w:p>
        </w:tc>
        <w:tc>
          <w:tcPr>
            <w:tcW w:w="1417" w:type="dxa"/>
          </w:tcPr>
          <w:p w:rsidR="003A5E42" w:rsidRDefault="00B84719" w:rsidP="00910DB7">
            <w:pPr>
              <w:jc w:val="center"/>
              <w:rPr>
                <w:rFonts w:ascii="Calibri" w:eastAsia="Calibri" w:hAnsi="Calibri" w:cs="Times New Roman"/>
                <w:color w:val="404040" w:themeColor="text1" w:themeTint="BF"/>
                <w:sz w:val="20"/>
                <w:szCs w:val="22"/>
              </w:rPr>
            </w:pPr>
            <w:r w:rsidRPr="00B84719">
              <w:rPr>
                <w:rFonts w:ascii="Calibri" w:eastAsia="Calibri" w:hAnsi="Calibri" w:cs="Times New Roman"/>
                <w:color w:val="404040" w:themeColor="text1" w:themeTint="BF"/>
                <w:sz w:val="20"/>
                <w:szCs w:val="22"/>
              </w:rPr>
              <w:t>13/00119/FUL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Radcliffe Observatory Quarter</w:t>
            </w:r>
          </w:p>
        </w:tc>
        <w:tc>
          <w:tcPr>
            <w:tcW w:w="2835" w:type="dxa"/>
          </w:tcPr>
          <w:p w:rsidR="003A5E42" w:rsidRPr="00540689" w:rsidRDefault="00B84719" w:rsidP="00B84719">
            <w:pPr>
              <w:rPr>
                <w:rFonts w:ascii="Calibri" w:eastAsia="Calibri" w:hAnsi="Calibri" w:cs="Times New Roman"/>
                <w:color w:val="404040" w:themeColor="text1" w:themeTint="BF"/>
                <w:sz w:val="20"/>
                <w:szCs w:val="22"/>
              </w:rPr>
            </w:pPr>
            <w:r w:rsidRPr="00B84719">
              <w:rPr>
                <w:rFonts w:ascii="Calibri" w:eastAsia="Calibri" w:hAnsi="Calibri" w:cs="Times New Roman"/>
                <w:color w:val="404040" w:themeColor="text1" w:themeTint="BF"/>
                <w:sz w:val="20"/>
                <w:szCs w:val="22"/>
              </w:rPr>
              <w:t>University School of Government</w:t>
            </w:r>
          </w:p>
        </w:tc>
        <w:tc>
          <w:tcPr>
            <w:tcW w:w="993" w:type="dxa"/>
            <w:shd w:val="clear" w:color="auto" w:fill="auto"/>
          </w:tcPr>
          <w:p w:rsidR="003A5E42" w:rsidRPr="00B43422" w:rsidRDefault="00B84719"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8/11</w:t>
            </w:r>
          </w:p>
        </w:tc>
        <w:tc>
          <w:tcPr>
            <w:tcW w:w="3038" w:type="dxa"/>
            <w:shd w:val="clear" w:color="auto" w:fill="auto"/>
          </w:tcPr>
          <w:p w:rsidR="003A5E42" w:rsidRDefault="007B03FE" w:rsidP="00910DB7">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At least 20%</w:t>
            </w:r>
            <w:r>
              <w:rPr>
                <w:rFonts w:ascii="Calibri" w:eastAsia="Calibri" w:hAnsi="Calibri" w:cs="Times New Roman"/>
                <w:color w:val="404040" w:themeColor="text1" w:themeTint="BF"/>
                <w:sz w:val="20"/>
                <w:szCs w:val="22"/>
              </w:rPr>
              <w:t xml:space="preserve"> of the site’s energy needs to be met by a ground source</w:t>
            </w:r>
            <w:r w:rsidR="00B53242">
              <w:rPr>
                <w:rFonts w:ascii="Calibri" w:eastAsia="Calibri" w:hAnsi="Calibri" w:cs="Times New Roman"/>
                <w:color w:val="404040" w:themeColor="text1" w:themeTint="BF"/>
                <w:sz w:val="20"/>
                <w:szCs w:val="22"/>
              </w:rPr>
              <w:t xml:space="preserve"> heat pump system and PV array.</w:t>
            </w:r>
          </w:p>
          <w:p w:rsidR="00B53242" w:rsidRPr="007B03FE" w:rsidRDefault="00B53242" w:rsidP="00910DB7">
            <w:pPr>
              <w:rPr>
                <w:rFonts w:ascii="Calibri" w:eastAsia="Calibri" w:hAnsi="Calibri" w:cs="Times New Roman"/>
                <w:color w:val="404040" w:themeColor="text1" w:themeTint="BF"/>
                <w:sz w:val="20"/>
                <w:szCs w:val="22"/>
              </w:rPr>
            </w:pPr>
          </w:p>
        </w:tc>
      </w:tr>
      <w:tr w:rsidR="003A5E42" w:rsidTr="00B43422">
        <w:tc>
          <w:tcPr>
            <w:tcW w:w="959" w:type="dxa"/>
          </w:tcPr>
          <w:p w:rsidR="003A5E42" w:rsidRDefault="002A5307"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lastRenderedPageBreak/>
              <w:t>18.10</w:t>
            </w:r>
            <w:r w:rsidR="007B03FE">
              <w:rPr>
                <w:rFonts w:ascii="Calibri" w:eastAsia="Calibri" w:hAnsi="Calibri" w:cs="Times New Roman"/>
                <w:color w:val="404040" w:themeColor="text1" w:themeTint="BF"/>
                <w:sz w:val="20"/>
                <w:szCs w:val="22"/>
              </w:rPr>
              <w:t>.13</w:t>
            </w:r>
          </w:p>
        </w:tc>
        <w:tc>
          <w:tcPr>
            <w:tcW w:w="1417" w:type="dxa"/>
          </w:tcPr>
          <w:p w:rsidR="00B53242" w:rsidRPr="00B53242" w:rsidRDefault="007B03FE"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13/00631/FUL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Cricket Ground</w:t>
            </w:r>
          </w:p>
          <w:p w:rsidR="003A5E42" w:rsidRDefault="00B53242" w:rsidP="00B53242">
            <w:pPr>
              <w:jc w:val="center"/>
              <w:rPr>
                <w:rFonts w:ascii="Calibri" w:eastAsia="Calibri" w:hAnsi="Calibri" w:cs="Times New Roman"/>
                <w:color w:val="404040" w:themeColor="text1" w:themeTint="BF"/>
                <w:sz w:val="20"/>
                <w:szCs w:val="22"/>
              </w:rPr>
            </w:pPr>
            <w:r w:rsidRPr="00B53242">
              <w:rPr>
                <w:rFonts w:ascii="Calibri" w:eastAsia="Calibri" w:hAnsi="Calibri" w:cs="Times New Roman"/>
                <w:color w:val="404040" w:themeColor="text1" w:themeTint="BF"/>
                <w:sz w:val="20"/>
                <w:szCs w:val="22"/>
              </w:rPr>
              <w:t>Barton Road</w:t>
            </w:r>
          </w:p>
        </w:tc>
        <w:tc>
          <w:tcPr>
            <w:tcW w:w="2835" w:type="dxa"/>
          </w:tcPr>
          <w:p w:rsidR="003A5E42" w:rsidRPr="00540689" w:rsidRDefault="007B03FE" w:rsidP="007B03FE">
            <w:pPr>
              <w:rPr>
                <w:rFonts w:ascii="Calibri" w:eastAsia="Calibri" w:hAnsi="Calibri" w:cs="Times New Roman"/>
                <w:color w:val="404040" w:themeColor="text1" w:themeTint="BF"/>
                <w:sz w:val="20"/>
                <w:szCs w:val="22"/>
              </w:rPr>
            </w:pPr>
            <w:r w:rsidRPr="007B03FE">
              <w:rPr>
                <w:rFonts w:ascii="Calibri" w:eastAsia="Calibri" w:hAnsi="Calibri" w:cs="Times New Roman"/>
                <w:color w:val="404040" w:themeColor="text1" w:themeTint="BF"/>
                <w:sz w:val="20"/>
                <w:szCs w:val="22"/>
              </w:rPr>
              <w:t xml:space="preserve">Erection of 30 residential units </w:t>
            </w:r>
          </w:p>
        </w:tc>
        <w:tc>
          <w:tcPr>
            <w:tcW w:w="993" w:type="dxa"/>
            <w:shd w:val="clear" w:color="auto" w:fill="auto"/>
          </w:tcPr>
          <w:p w:rsidR="003A5E42" w:rsidRPr="00B43422" w:rsidRDefault="007B03FE" w:rsidP="00910DB7">
            <w:pPr>
              <w:jc w:val="center"/>
              <w:rPr>
                <w:rFonts w:ascii="Calibri" w:eastAsia="Calibri" w:hAnsi="Calibri" w:cs="Times New Roman"/>
                <w:b/>
                <w:color w:val="4F6228" w:themeColor="accent3" w:themeShade="80"/>
                <w:sz w:val="20"/>
                <w:szCs w:val="22"/>
              </w:rPr>
            </w:pPr>
            <w:r w:rsidRPr="00B43422">
              <w:rPr>
                <w:rFonts w:ascii="Calibri" w:eastAsia="Calibri" w:hAnsi="Calibri" w:cs="Times New Roman"/>
                <w:b/>
                <w:color w:val="4F6228" w:themeColor="accent3" w:themeShade="80"/>
                <w:sz w:val="20"/>
                <w:szCs w:val="22"/>
              </w:rPr>
              <w:t>6/11</w:t>
            </w:r>
          </w:p>
        </w:tc>
        <w:tc>
          <w:tcPr>
            <w:tcW w:w="3038" w:type="dxa"/>
            <w:shd w:val="clear" w:color="auto" w:fill="auto"/>
          </w:tcPr>
          <w:p w:rsidR="003A5E42" w:rsidRPr="007B03FE" w:rsidRDefault="007B03FE" w:rsidP="002A5307">
            <w:pPr>
              <w:rPr>
                <w:rFonts w:ascii="Calibri" w:eastAsia="Calibri" w:hAnsi="Calibri" w:cs="Times New Roman"/>
                <w:color w:val="404040" w:themeColor="text1" w:themeTint="BF"/>
                <w:sz w:val="20"/>
                <w:szCs w:val="22"/>
              </w:rPr>
            </w:pPr>
            <w:r w:rsidRPr="007B03FE">
              <w:rPr>
                <w:rFonts w:ascii="Calibri" w:eastAsia="Calibri" w:hAnsi="Calibri" w:cs="Times New Roman"/>
                <w:b/>
                <w:color w:val="404040" w:themeColor="text1" w:themeTint="BF"/>
                <w:sz w:val="20"/>
                <w:szCs w:val="22"/>
              </w:rPr>
              <w:t>20%</w:t>
            </w:r>
            <w:r w:rsidRPr="007B03FE">
              <w:rPr>
                <w:rFonts w:ascii="Calibri" w:eastAsia="Calibri" w:hAnsi="Calibri" w:cs="Times New Roman"/>
                <w:color w:val="404040" w:themeColor="text1" w:themeTint="BF"/>
                <w:sz w:val="20"/>
                <w:szCs w:val="22"/>
              </w:rPr>
              <w:t xml:space="preserve"> of the</w:t>
            </w:r>
            <w:r w:rsidR="002A5307">
              <w:rPr>
                <w:rFonts w:ascii="Calibri" w:eastAsia="Calibri" w:hAnsi="Calibri" w:cs="Times New Roman"/>
                <w:color w:val="404040" w:themeColor="text1" w:themeTint="BF"/>
                <w:sz w:val="20"/>
                <w:szCs w:val="22"/>
              </w:rPr>
              <w:t xml:space="preserve"> site’s</w:t>
            </w:r>
            <w:r w:rsidRPr="007B03FE">
              <w:rPr>
                <w:rFonts w:ascii="Calibri" w:eastAsia="Calibri" w:hAnsi="Calibri" w:cs="Times New Roman"/>
                <w:color w:val="404040" w:themeColor="text1" w:themeTint="BF"/>
                <w:sz w:val="20"/>
                <w:szCs w:val="22"/>
              </w:rPr>
              <w:t xml:space="preserve"> energy needs </w:t>
            </w:r>
            <w:r w:rsidR="002A5307">
              <w:rPr>
                <w:rFonts w:ascii="Calibri" w:eastAsia="Calibri" w:hAnsi="Calibri" w:cs="Times New Roman"/>
                <w:color w:val="404040" w:themeColor="text1" w:themeTint="BF"/>
                <w:sz w:val="20"/>
                <w:szCs w:val="22"/>
              </w:rPr>
              <w:t xml:space="preserve">to be met by </w:t>
            </w:r>
            <w:r w:rsidRPr="007B03FE">
              <w:rPr>
                <w:rFonts w:ascii="Calibri" w:eastAsia="Calibri" w:hAnsi="Calibri" w:cs="Times New Roman"/>
                <w:color w:val="404040" w:themeColor="text1" w:themeTint="BF"/>
                <w:sz w:val="20"/>
                <w:szCs w:val="22"/>
              </w:rPr>
              <w:t xml:space="preserve">PV systems on a </w:t>
            </w:r>
            <w:r w:rsidR="00AD2C54" w:rsidRPr="00635CD2">
              <w:rPr>
                <w:rFonts w:ascii="Calibri" w:eastAsia="Calibri" w:hAnsi="Calibri" w:cs="Calibri"/>
                <w:b/>
                <w:noProof/>
                <w:color w:val="000000"/>
                <w:sz w:val="32"/>
                <w:szCs w:val="32"/>
                <w:lang w:eastAsia="en-GB"/>
              </w:rPr>
              <mc:AlternateContent>
                <mc:Choice Requires="wps">
                  <w:drawing>
                    <wp:anchor distT="0" distB="0" distL="114300" distR="114300" simplePos="0" relativeHeight="251826176" behindDoc="0" locked="0" layoutInCell="1" allowOverlap="1" wp14:anchorId="3F8AEA89" wp14:editId="4F54633C">
                      <wp:simplePos x="0" y="0"/>
                      <wp:positionH relativeFrom="column">
                        <wp:posOffset>-487045</wp:posOffset>
                      </wp:positionH>
                      <wp:positionV relativeFrom="paragraph">
                        <wp:posOffset>-627380</wp:posOffset>
                      </wp:positionV>
                      <wp:extent cx="2427605" cy="352425"/>
                      <wp:effectExtent l="0" t="0" r="0" b="9525"/>
                      <wp:wrapNone/>
                      <wp:docPr id="132" name="Text Box 13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635CD2">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2" o:spid="_x0000_s1072" type="#_x0000_t202" style="position:absolute;margin-left:-38.35pt;margin-top:-49.4pt;width:191.15pt;height:27.7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uAVAIAAKQ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" fillcolor="window" stroked="f" strokeweight=".5pt">
                      <v:textbox>
                        <w:txbxContent>
                          <w:p w:rsidR="000D3CFF" w:rsidRPr="00483A60" w:rsidRDefault="000D3CFF" w:rsidP="00635CD2">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Pr="007B03FE">
              <w:rPr>
                <w:rFonts w:ascii="Calibri" w:eastAsia="Calibri" w:hAnsi="Calibri" w:cs="Times New Roman"/>
                <w:color w:val="404040" w:themeColor="text1" w:themeTint="BF"/>
                <w:sz w:val="20"/>
                <w:szCs w:val="22"/>
              </w:rPr>
              <w:t>number of houses with suitably siz</w:t>
            </w:r>
            <w:r w:rsidR="002A5307">
              <w:rPr>
                <w:rFonts w:ascii="Calibri" w:eastAsia="Calibri" w:hAnsi="Calibri" w:cs="Times New Roman"/>
                <w:color w:val="404040" w:themeColor="text1" w:themeTint="BF"/>
                <w:sz w:val="20"/>
                <w:szCs w:val="22"/>
              </w:rPr>
              <w:t>ed areas of south facing roofs.</w:t>
            </w:r>
          </w:p>
        </w:tc>
      </w:tr>
      <w:tr w:rsidR="003A5E42" w:rsidTr="00B43422">
        <w:tc>
          <w:tcPr>
            <w:tcW w:w="959" w:type="dxa"/>
          </w:tcPr>
          <w:p w:rsidR="003A5E42" w:rsidRDefault="002A5307"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18.10.13</w:t>
            </w:r>
          </w:p>
        </w:tc>
        <w:tc>
          <w:tcPr>
            <w:tcW w:w="1417" w:type="dxa"/>
          </w:tcPr>
          <w:p w:rsidR="003A5E42" w:rsidRDefault="002A5307" w:rsidP="00910DB7">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13/00739/FUL</w:t>
            </w:r>
            <w:r w:rsidR="00B53242">
              <w:rPr>
                <w:rFonts w:ascii="Calibri" w:eastAsia="Calibri" w:hAnsi="Calibri" w:cs="Times New Roman"/>
                <w:color w:val="404040" w:themeColor="text1" w:themeTint="BF"/>
                <w:sz w:val="20"/>
                <w:szCs w:val="22"/>
              </w:rPr>
              <w:t xml:space="preserve"> Lawn </w:t>
            </w:r>
            <w:proofErr w:type="spellStart"/>
            <w:r w:rsidR="00B53242">
              <w:rPr>
                <w:rFonts w:ascii="Calibri" w:eastAsia="Calibri" w:hAnsi="Calibri" w:cs="Times New Roman"/>
                <w:color w:val="404040" w:themeColor="text1" w:themeTint="BF"/>
                <w:sz w:val="20"/>
                <w:szCs w:val="22"/>
              </w:rPr>
              <w:t>Uption</w:t>
            </w:r>
            <w:proofErr w:type="spellEnd"/>
            <w:r w:rsidR="00B53242">
              <w:rPr>
                <w:rFonts w:ascii="Calibri" w:eastAsia="Calibri" w:hAnsi="Calibri" w:cs="Times New Roman"/>
                <w:color w:val="404040" w:themeColor="text1" w:themeTint="BF"/>
                <w:sz w:val="20"/>
                <w:szCs w:val="22"/>
              </w:rPr>
              <w:t xml:space="preserve"> House</w:t>
            </w:r>
          </w:p>
        </w:tc>
        <w:tc>
          <w:tcPr>
            <w:tcW w:w="2835" w:type="dxa"/>
          </w:tcPr>
          <w:p w:rsidR="003A5E42" w:rsidRPr="00540689" w:rsidRDefault="002A5307" w:rsidP="002A5307">
            <w:pPr>
              <w:rPr>
                <w:rFonts w:ascii="Calibri" w:eastAsia="Calibri" w:hAnsi="Calibri" w:cs="Times New Roman"/>
                <w:color w:val="404040" w:themeColor="text1" w:themeTint="BF"/>
                <w:sz w:val="20"/>
                <w:szCs w:val="22"/>
              </w:rPr>
            </w:pPr>
            <w:r w:rsidRPr="002A5307">
              <w:rPr>
                <w:rFonts w:ascii="Calibri" w:eastAsia="Calibri" w:hAnsi="Calibri" w:cs="Times New Roman"/>
                <w:color w:val="404040" w:themeColor="text1" w:themeTint="BF"/>
                <w:sz w:val="20"/>
                <w:szCs w:val="22"/>
              </w:rPr>
              <w:t>Erection of 22 reside</w:t>
            </w:r>
            <w:r>
              <w:rPr>
                <w:rFonts w:ascii="Calibri" w:eastAsia="Calibri" w:hAnsi="Calibri" w:cs="Times New Roman"/>
                <w:color w:val="404040" w:themeColor="text1" w:themeTint="BF"/>
                <w:sz w:val="20"/>
                <w:szCs w:val="22"/>
              </w:rPr>
              <w:t>ntial units.</w:t>
            </w:r>
          </w:p>
        </w:tc>
        <w:tc>
          <w:tcPr>
            <w:tcW w:w="993" w:type="dxa"/>
            <w:shd w:val="clear" w:color="auto" w:fill="FFFFFF" w:themeFill="background1"/>
          </w:tcPr>
          <w:p w:rsidR="003A5E42" w:rsidRDefault="000E60D6" w:rsidP="00910DB7">
            <w:pPr>
              <w:jc w:val="center"/>
              <w:rPr>
                <w:rFonts w:ascii="Calibri" w:eastAsia="Calibri" w:hAnsi="Calibri" w:cs="Times New Roman"/>
                <w:b/>
                <w:color w:val="4F6228" w:themeColor="accent3" w:themeShade="80"/>
                <w:sz w:val="20"/>
                <w:szCs w:val="22"/>
              </w:rPr>
            </w:pPr>
            <w:r>
              <w:rPr>
                <w:rFonts w:ascii="Calibri" w:eastAsia="Calibri" w:hAnsi="Calibri" w:cs="Times New Roman"/>
                <w:b/>
                <w:color w:val="4F6228" w:themeColor="accent3" w:themeShade="80"/>
                <w:sz w:val="20"/>
                <w:szCs w:val="22"/>
              </w:rPr>
              <w:t>7/11</w:t>
            </w:r>
          </w:p>
        </w:tc>
        <w:tc>
          <w:tcPr>
            <w:tcW w:w="3038" w:type="dxa"/>
            <w:shd w:val="clear" w:color="auto" w:fill="FFFFFF" w:themeFill="background1"/>
          </w:tcPr>
          <w:p w:rsidR="003A5E42" w:rsidRPr="00420038" w:rsidRDefault="00420038" w:rsidP="000E60D6">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20%</w:t>
            </w:r>
            <w:r>
              <w:rPr>
                <w:rFonts w:ascii="Calibri" w:eastAsia="Calibri" w:hAnsi="Calibri" w:cs="Times New Roman"/>
                <w:color w:val="404040" w:themeColor="text1" w:themeTint="BF"/>
                <w:sz w:val="20"/>
                <w:szCs w:val="22"/>
              </w:rPr>
              <w:t xml:space="preserve"> of the site’s energy needs to be met </w:t>
            </w:r>
            <w:r w:rsidR="000E60D6">
              <w:rPr>
                <w:rFonts w:ascii="Calibri" w:eastAsia="Calibri" w:hAnsi="Calibri" w:cs="Times New Roman"/>
                <w:color w:val="404040" w:themeColor="text1" w:themeTint="BF"/>
                <w:sz w:val="20"/>
                <w:szCs w:val="22"/>
              </w:rPr>
              <w:t>by</w:t>
            </w:r>
            <w:r>
              <w:rPr>
                <w:rFonts w:ascii="Calibri" w:eastAsia="Calibri" w:hAnsi="Calibri" w:cs="Times New Roman"/>
                <w:color w:val="404040" w:themeColor="text1" w:themeTint="BF"/>
                <w:sz w:val="20"/>
                <w:szCs w:val="22"/>
              </w:rPr>
              <w:t xml:space="preserve"> solar PV panels.</w:t>
            </w:r>
          </w:p>
        </w:tc>
      </w:tr>
      <w:tr w:rsidR="003A5E42" w:rsidTr="00B43422">
        <w:tc>
          <w:tcPr>
            <w:tcW w:w="959" w:type="dxa"/>
          </w:tcPr>
          <w:p w:rsidR="003A5E42" w:rsidRDefault="00420038"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03.02.14</w:t>
            </w:r>
          </w:p>
        </w:tc>
        <w:tc>
          <w:tcPr>
            <w:tcW w:w="1417" w:type="dxa"/>
          </w:tcPr>
          <w:p w:rsidR="00B53242" w:rsidRPr="00B53242" w:rsidRDefault="00420038"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13/00832/FUL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Former Ruskin College Site</w:t>
            </w:r>
          </w:p>
          <w:p w:rsidR="003A5E42" w:rsidRDefault="00B53242" w:rsidP="00B53242">
            <w:pPr>
              <w:jc w:val="center"/>
              <w:rPr>
                <w:rFonts w:ascii="Calibri" w:eastAsia="Calibri" w:hAnsi="Calibri" w:cs="Times New Roman"/>
                <w:color w:val="404040" w:themeColor="text1" w:themeTint="BF"/>
                <w:sz w:val="20"/>
                <w:szCs w:val="22"/>
              </w:rPr>
            </w:pPr>
            <w:r w:rsidRPr="00B53242">
              <w:rPr>
                <w:rFonts w:ascii="Calibri" w:eastAsia="Calibri" w:hAnsi="Calibri" w:cs="Times New Roman"/>
                <w:color w:val="404040" w:themeColor="text1" w:themeTint="BF"/>
                <w:sz w:val="20"/>
                <w:szCs w:val="22"/>
              </w:rPr>
              <w:t>Walton Street</w:t>
            </w:r>
          </w:p>
        </w:tc>
        <w:tc>
          <w:tcPr>
            <w:tcW w:w="2835" w:type="dxa"/>
          </w:tcPr>
          <w:p w:rsidR="003A5E42" w:rsidRPr="00540689" w:rsidRDefault="00420038" w:rsidP="000E60D6">
            <w:pPr>
              <w:rPr>
                <w:rFonts w:ascii="Calibri" w:eastAsia="Calibri" w:hAnsi="Calibri" w:cs="Times New Roman"/>
                <w:color w:val="404040" w:themeColor="text1" w:themeTint="BF"/>
                <w:sz w:val="20"/>
                <w:szCs w:val="22"/>
              </w:rPr>
            </w:pPr>
            <w:r w:rsidRPr="00420038">
              <w:rPr>
                <w:rFonts w:ascii="Calibri" w:eastAsia="Calibri" w:hAnsi="Calibri" w:cs="Times New Roman"/>
                <w:color w:val="404040" w:themeColor="text1" w:themeTint="BF"/>
                <w:sz w:val="20"/>
                <w:szCs w:val="22"/>
              </w:rPr>
              <w:t xml:space="preserve">Redevelopment of existing student accommodation and teaching site </w:t>
            </w:r>
            <w:r w:rsidR="000E60D6">
              <w:rPr>
                <w:rFonts w:ascii="Calibri" w:eastAsia="Calibri" w:hAnsi="Calibri" w:cs="Times New Roman"/>
                <w:color w:val="404040" w:themeColor="text1" w:themeTint="BF"/>
                <w:sz w:val="20"/>
                <w:szCs w:val="22"/>
              </w:rPr>
              <w:t xml:space="preserve">comprising the demolition of buildings </w:t>
            </w:r>
            <w:r w:rsidRPr="00420038">
              <w:rPr>
                <w:rFonts w:ascii="Calibri" w:eastAsia="Calibri" w:hAnsi="Calibri" w:cs="Times New Roman"/>
                <w:color w:val="404040" w:themeColor="text1" w:themeTint="BF"/>
                <w:sz w:val="20"/>
                <w:szCs w:val="22"/>
              </w:rPr>
              <w:t xml:space="preserve">and erection of 90 student study rooms, 3 Fellows/Staff residential rooms, teaching facilities, library archive </w:t>
            </w:r>
            <w:r w:rsidR="000E60D6">
              <w:rPr>
                <w:rFonts w:ascii="Calibri" w:eastAsia="Calibri" w:hAnsi="Calibri" w:cs="Times New Roman"/>
                <w:color w:val="404040" w:themeColor="text1" w:themeTint="BF"/>
                <w:sz w:val="20"/>
                <w:szCs w:val="22"/>
              </w:rPr>
              <w:t xml:space="preserve">and </w:t>
            </w:r>
            <w:r w:rsidRPr="00420038">
              <w:rPr>
                <w:rFonts w:ascii="Calibri" w:eastAsia="Calibri" w:hAnsi="Calibri" w:cs="Times New Roman"/>
                <w:color w:val="404040" w:themeColor="text1" w:themeTint="BF"/>
                <w:sz w:val="20"/>
                <w:szCs w:val="22"/>
              </w:rPr>
              <w:t>social space</w:t>
            </w:r>
            <w:r w:rsidR="000E60D6">
              <w:rPr>
                <w:rFonts w:ascii="Calibri" w:eastAsia="Calibri" w:hAnsi="Calibri" w:cs="Times New Roman"/>
                <w:color w:val="404040" w:themeColor="text1" w:themeTint="BF"/>
                <w:sz w:val="20"/>
                <w:szCs w:val="22"/>
              </w:rPr>
              <w:t>.</w:t>
            </w:r>
          </w:p>
        </w:tc>
        <w:tc>
          <w:tcPr>
            <w:tcW w:w="993" w:type="dxa"/>
            <w:shd w:val="clear" w:color="auto" w:fill="FFFFFF" w:themeFill="background1"/>
          </w:tcPr>
          <w:p w:rsidR="003A5E42" w:rsidRDefault="000E60D6" w:rsidP="00910DB7">
            <w:pPr>
              <w:jc w:val="center"/>
              <w:rPr>
                <w:rFonts w:ascii="Calibri" w:eastAsia="Calibri" w:hAnsi="Calibri" w:cs="Times New Roman"/>
                <w:b/>
                <w:color w:val="4F6228" w:themeColor="accent3" w:themeShade="80"/>
                <w:sz w:val="20"/>
                <w:szCs w:val="22"/>
              </w:rPr>
            </w:pPr>
            <w:r>
              <w:rPr>
                <w:rFonts w:ascii="Calibri" w:eastAsia="Calibri" w:hAnsi="Calibri" w:cs="Times New Roman"/>
                <w:b/>
                <w:color w:val="4F6228" w:themeColor="accent3" w:themeShade="80"/>
                <w:sz w:val="20"/>
                <w:szCs w:val="22"/>
              </w:rPr>
              <w:t>8/11</w:t>
            </w:r>
          </w:p>
        </w:tc>
        <w:tc>
          <w:tcPr>
            <w:tcW w:w="3038" w:type="dxa"/>
            <w:shd w:val="clear" w:color="auto" w:fill="FFFFFF" w:themeFill="background1"/>
          </w:tcPr>
          <w:p w:rsidR="003A5E42" w:rsidRDefault="000E60D6" w:rsidP="000E60D6">
            <w:pP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 xml:space="preserve">32% </w:t>
            </w:r>
            <w:r w:rsidRPr="000E60D6">
              <w:rPr>
                <w:rFonts w:ascii="Calibri" w:eastAsia="Calibri" w:hAnsi="Calibri" w:cs="Times New Roman"/>
                <w:color w:val="404040" w:themeColor="text1" w:themeTint="BF"/>
                <w:sz w:val="20"/>
                <w:szCs w:val="22"/>
              </w:rPr>
              <w:t>of the site’s energy needs to be met by air source heat pumps and a solar thermal system.</w:t>
            </w:r>
          </w:p>
        </w:tc>
      </w:tr>
      <w:tr w:rsidR="003A5E42" w:rsidTr="00B43422">
        <w:tc>
          <w:tcPr>
            <w:tcW w:w="959" w:type="dxa"/>
          </w:tcPr>
          <w:p w:rsidR="003A5E42" w:rsidRDefault="00B978B3"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18.10.13</w:t>
            </w:r>
          </w:p>
        </w:tc>
        <w:tc>
          <w:tcPr>
            <w:tcW w:w="1417" w:type="dxa"/>
          </w:tcPr>
          <w:p w:rsidR="00B53242" w:rsidRPr="00B53242" w:rsidRDefault="00B978B3" w:rsidP="00B53242">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13/01119/FUL</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Former DHL Site</w:t>
            </w:r>
          </w:p>
          <w:p w:rsidR="003A5E42" w:rsidRDefault="00B53242" w:rsidP="00B53242">
            <w:pPr>
              <w:jc w:val="center"/>
              <w:rPr>
                <w:rFonts w:ascii="Calibri" w:eastAsia="Calibri" w:hAnsi="Calibri" w:cs="Times New Roman"/>
                <w:color w:val="404040" w:themeColor="text1" w:themeTint="BF"/>
                <w:sz w:val="20"/>
                <w:szCs w:val="22"/>
              </w:rPr>
            </w:pPr>
            <w:r w:rsidRPr="00B53242">
              <w:rPr>
                <w:rFonts w:ascii="Calibri" w:eastAsia="Calibri" w:hAnsi="Calibri" w:cs="Times New Roman"/>
                <w:color w:val="404040" w:themeColor="text1" w:themeTint="BF"/>
                <w:sz w:val="20"/>
                <w:szCs w:val="22"/>
              </w:rPr>
              <w:t>Sandy Lane West</w:t>
            </w:r>
          </w:p>
        </w:tc>
        <w:tc>
          <w:tcPr>
            <w:tcW w:w="2835" w:type="dxa"/>
          </w:tcPr>
          <w:p w:rsidR="003A5E42" w:rsidRPr="00540689" w:rsidRDefault="00B978B3" w:rsidP="00C94125">
            <w:pPr>
              <w:rPr>
                <w:rFonts w:ascii="Calibri" w:eastAsia="Calibri" w:hAnsi="Calibri" w:cs="Times New Roman"/>
                <w:color w:val="404040" w:themeColor="text1" w:themeTint="BF"/>
                <w:sz w:val="20"/>
                <w:szCs w:val="22"/>
              </w:rPr>
            </w:pPr>
            <w:r w:rsidRPr="00B978B3">
              <w:rPr>
                <w:rFonts w:ascii="Calibri" w:eastAsia="Calibri" w:hAnsi="Calibri" w:cs="Times New Roman"/>
                <w:color w:val="404040" w:themeColor="text1" w:themeTint="BF"/>
                <w:sz w:val="20"/>
                <w:szCs w:val="22"/>
              </w:rPr>
              <w:t>Erection of 3 units providing 3</w:t>
            </w:r>
            <w:r w:rsidR="005F719B">
              <w:rPr>
                <w:rFonts w:ascii="Calibri" w:eastAsia="Calibri" w:hAnsi="Calibri" w:cs="Times New Roman"/>
                <w:color w:val="404040" w:themeColor="text1" w:themeTint="BF"/>
                <w:sz w:val="20"/>
                <w:szCs w:val="22"/>
              </w:rPr>
              <w:t>,509</w:t>
            </w:r>
            <w:r w:rsidRPr="00B978B3">
              <w:rPr>
                <w:rFonts w:ascii="Calibri" w:eastAsia="Calibri" w:hAnsi="Calibri" w:cs="Times New Roman"/>
                <w:color w:val="404040" w:themeColor="text1" w:themeTint="BF"/>
                <w:sz w:val="20"/>
                <w:szCs w:val="22"/>
              </w:rPr>
              <w:t>m</w:t>
            </w:r>
            <w:r w:rsidR="005F719B">
              <w:rPr>
                <w:rFonts w:ascii="Calibri" w:eastAsia="Calibri" w:hAnsi="Calibri" w:cs="Times New Roman"/>
                <w:color w:val="404040" w:themeColor="text1" w:themeTint="BF"/>
                <w:sz w:val="20"/>
                <w:szCs w:val="22"/>
                <w:vertAlign w:val="superscript"/>
              </w:rPr>
              <w:t>2</w:t>
            </w:r>
            <w:r w:rsidRPr="00B978B3">
              <w:rPr>
                <w:rFonts w:ascii="Calibri" w:eastAsia="Calibri" w:hAnsi="Calibri" w:cs="Times New Roman"/>
                <w:color w:val="404040" w:themeColor="text1" w:themeTint="BF"/>
                <w:sz w:val="20"/>
                <w:szCs w:val="22"/>
              </w:rPr>
              <w:t xml:space="preserve"> of accommodation for Class B1 (Business), Class B2 (General Industrial) or Class B8 (Storage or Distribution) use.  </w:t>
            </w:r>
          </w:p>
        </w:tc>
        <w:tc>
          <w:tcPr>
            <w:tcW w:w="993" w:type="dxa"/>
            <w:shd w:val="clear" w:color="auto" w:fill="FFFFFF" w:themeFill="background1"/>
          </w:tcPr>
          <w:p w:rsidR="003A5E42" w:rsidRDefault="00CD0F17" w:rsidP="00910DB7">
            <w:pPr>
              <w:jc w:val="center"/>
              <w:rPr>
                <w:rFonts w:ascii="Calibri" w:eastAsia="Calibri" w:hAnsi="Calibri" w:cs="Times New Roman"/>
                <w:b/>
                <w:color w:val="4F6228" w:themeColor="accent3" w:themeShade="80"/>
                <w:sz w:val="20"/>
                <w:szCs w:val="22"/>
              </w:rPr>
            </w:pPr>
            <w:r>
              <w:rPr>
                <w:rFonts w:ascii="Calibri" w:eastAsia="Calibri" w:hAnsi="Calibri" w:cs="Times New Roman"/>
                <w:b/>
                <w:color w:val="4F6228" w:themeColor="accent3" w:themeShade="80"/>
                <w:sz w:val="20"/>
                <w:szCs w:val="22"/>
              </w:rPr>
              <w:t>8/11</w:t>
            </w:r>
          </w:p>
        </w:tc>
        <w:tc>
          <w:tcPr>
            <w:tcW w:w="3038" w:type="dxa"/>
            <w:shd w:val="clear" w:color="auto" w:fill="FFFFFF" w:themeFill="background1"/>
          </w:tcPr>
          <w:p w:rsidR="003A5E42" w:rsidRPr="00CD0F17" w:rsidRDefault="00CD0F17" w:rsidP="00CD0F17">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20%</w:t>
            </w:r>
            <w:r>
              <w:rPr>
                <w:rFonts w:ascii="Calibri" w:eastAsia="Calibri" w:hAnsi="Calibri" w:cs="Times New Roman"/>
                <w:color w:val="404040" w:themeColor="text1" w:themeTint="BF"/>
                <w:sz w:val="20"/>
                <w:szCs w:val="22"/>
              </w:rPr>
              <w:t xml:space="preserve"> of the site’s energy needs to be met by PV panels.</w:t>
            </w:r>
          </w:p>
        </w:tc>
      </w:tr>
      <w:tr w:rsidR="00CD0F17" w:rsidTr="00B43422">
        <w:tc>
          <w:tcPr>
            <w:tcW w:w="959" w:type="dxa"/>
          </w:tcPr>
          <w:p w:rsidR="00CD0F17" w:rsidRDefault="00CD0F17" w:rsidP="00BE64A0">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24.10.13</w:t>
            </w:r>
          </w:p>
        </w:tc>
        <w:tc>
          <w:tcPr>
            <w:tcW w:w="1417" w:type="dxa"/>
          </w:tcPr>
          <w:p w:rsidR="00CD0F17" w:rsidRDefault="00CD0F17" w:rsidP="00910DB7">
            <w:pPr>
              <w:jc w:val="center"/>
              <w:rPr>
                <w:rFonts w:ascii="Calibri" w:eastAsia="Calibri" w:hAnsi="Calibri" w:cs="Times New Roman"/>
                <w:color w:val="404040" w:themeColor="text1" w:themeTint="BF"/>
                <w:sz w:val="20"/>
                <w:szCs w:val="22"/>
              </w:rPr>
            </w:pPr>
            <w:r>
              <w:rPr>
                <w:rFonts w:ascii="Calibri" w:eastAsia="Calibri" w:hAnsi="Calibri" w:cs="Times New Roman"/>
                <w:color w:val="404040" w:themeColor="text1" w:themeTint="BF"/>
                <w:sz w:val="20"/>
                <w:szCs w:val="22"/>
              </w:rPr>
              <w:t>13/01940/CT3</w:t>
            </w:r>
            <w:r w:rsidR="00B53242">
              <w:rPr>
                <w:rFonts w:ascii="Calibri" w:eastAsia="Calibri" w:hAnsi="Calibri" w:cs="Times New Roman"/>
                <w:color w:val="404040" w:themeColor="text1" w:themeTint="BF"/>
                <w:sz w:val="20"/>
                <w:szCs w:val="22"/>
              </w:rPr>
              <w:t xml:space="preserve"> </w:t>
            </w:r>
            <w:r w:rsidR="00B53242" w:rsidRPr="00B53242">
              <w:rPr>
                <w:rFonts w:ascii="Calibri" w:eastAsia="Calibri" w:hAnsi="Calibri" w:cs="Times New Roman"/>
                <w:color w:val="404040" w:themeColor="text1" w:themeTint="BF"/>
                <w:sz w:val="20"/>
                <w:szCs w:val="22"/>
              </w:rPr>
              <w:t>Rose Hill Sports Ground</w:t>
            </w:r>
          </w:p>
        </w:tc>
        <w:tc>
          <w:tcPr>
            <w:tcW w:w="2835" w:type="dxa"/>
          </w:tcPr>
          <w:p w:rsidR="00CD0F17" w:rsidRPr="00540689" w:rsidRDefault="00CD0F17" w:rsidP="00CD0F17">
            <w:pPr>
              <w:rPr>
                <w:rFonts w:ascii="Calibri" w:eastAsia="Calibri" w:hAnsi="Calibri" w:cs="Times New Roman"/>
                <w:color w:val="404040" w:themeColor="text1" w:themeTint="BF"/>
                <w:sz w:val="20"/>
                <w:szCs w:val="22"/>
              </w:rPr>
            </w:pPr>
            <w:r w:rsidRPr="00CD0F17">
              <w:rPr>
                <w:rFonts w:ascii="Calibri" w:eastAsia="Calibri" w:hAnsi="Calibri" w:cs="Times New Roman"/>
                <w:color w:val="404040" w:themeColor="text1" w:themeTint="BF"/>
                <w:sz w:val="20"/>
                <w:szCs w:val="22"/>
              </w:rPr>
              <w:t>Demolition of existing sports pavilion. Erection of 2 storey community centre</w:t>
            </w:r>
            <w:r>
              <w:rPr>
                <w:rFonts w:ascii="Calibri" w:eastAsia="Calibri" w:hAnsi="Calibri" w:cs="Times New Roman"/>
                <w:color w:val="404040" w:themeColor="text1" w:themeTint="BF"/>
                <w:sz w:val="20"/>
                <w:szCs w:val="22"/>
              </w:rPr>
              <w:t>.</w:t>
            </w:r>
          </w:p>
        </w:tc>
        <w:tc>
          <w:tcPr>
            <w:tcW w:w="993" w:type="dxa"/>
            <w:shd w:val="clear" w:color="auto" w:fill="FFFFFF" w:themeFill="background1"/>
          </w:tcPr>
          <w:p w:rsidR="00CD0F17" w:rsidRDefault="00CD0F17" w:rsidP="00910DB7">
            <w:pPr>
              <w:jc w:val="center"/>
              <w:rPr>
                <w:rFonts w:ascii="Calibri" w:eastAsia="Calibri" w:hAnsi="Calibri" w:cs="Times New Roman"/>
                <w:b/>
                <w:color w:val="4F6228" w:themeColor="accent3" w:themeShade="80"/>
                <w:sz w:val="20"/>
                <w:szCs w:val="22"/>
              </w:rPr>
            </w:pPr>
            <w:r>
              <w:rPr>
                <w:rFonts w:ascii="Calibri" w:eastAsia="Calibri" w:hAnsi="Calibri" w:cs="Times New Roman"/>
                <w:b/>
                <w:color w:val="4F6228" w:themeColor="accent3" w:themeShade="80"/>
                <w:sz w:val="20"/>
                <w:szCs w:val="22"/>
              </w:rPr>
              <w:t>8/11</w:t>
            </w:r>
          </w:p>
        </w:tc>
        <w:tc>
          <w:tcPr>
            <w:tcW w:w="3038" w:type="dxa"/>
            <w:shd w:val="clear" w:color="auto" w:fill="FFFFFF" w:themeFill="background1"/>
          </w:tcPr>
          <w:p w:rsidR="00CD0F17" w:rsidRPr="00CD0F17" w:rsidRDefault="00CD0F17" w:rsidP="001C248D">
            <w:pPr>
              <w:rPr>
                <w:rFonts w:ascii="Calibri" w:eastAsia="Calibri" w:hAnsi="Calibri" w:cs="Times New Roman"/>
                <w:color w:val="404040" w:themeColor="text1" w:themeTint="BF"/>
                <w:sz w:val="20"/>
                <w:szCs w:val="22"/>
              </w:rPr>
            </w:pPr>
            <w:r>
              <w:rPr>
                <w:rFonts w:ascii="Calibri" w:eastAsia="Calibri" w:hAnsi="Calibri" w:cs="Times New Roman"/>
                <w:b/>
                <w:color w:val="404040" w:themeColor="text1" w:themeTint="BF"/>
                <w:sz w:val="20"/>
                <w:szCs w:val="22"/>
              </w:rPr>
              <w:t>20%</w:t>
            </w:r>
            <w:r>
              <w:rPr>
                <w:rFonts w:ascii="Calibri" w:eastAsia="Calibri" w:hAnsi="Calibri" w:cs="Times New Roman"/>
                <w:color w:val="404040" w:themeColor="text1" w:themeTint="BF"/>
                <w:sz w:val="20"/>
                <w:szCs w:val="22"/>
              </w:rPr>
              <w:t xml:space="preserve"> of the site’s energy needs to be met by PV panels.</w:t>
            </w:r>
          </w:p>
        </w:tc>
      </w:tr>
    </w:tbl>
    <w:p w:rsidR="00A838F8" w:rsidRPr="00A838F8" w:rsidRDefault="00A838F8" w:rsidP="000B7EF1">
      <w:pPr>
        <w:jc w:val="center"/>
        <w:rPr>
          <w:rFonts w:ascii="Calibri" w:eastAsia="Calibri" w:hAnsi="Calibri" w:cs="Times New Roman"/>
          <w:b/>
          <w:sz w:val="6"/>
          <w:szCs w:val="6"/>
        </w:rPr>
      </w:pPr>
    </w:p>
    <w:p w:rsidR="000B7EF1" w:rsidRDefault="008B306D" w:rsidP="000B7EF1">
      <w:pPr>
        <w:jc w:val="center"/>
        <w:rPr>
          <w:rFonts w:ascii="Calibri" w:eastAsia="Calibri" w:hAnsi="Calibri" w:cs="Times New Roman"/>
          <w:sz w:val="20"/>
          <w:szCs w:val="22"/>
        </w:rPr>
      </w:pPr>
      <w:r>
        <w:rPr>
          <w:rFonts w:ascii="Calibri" w:eastAsia="Calibri" w:hAnsi="Calibri" w:cs="Times New Roman"/>
          <w:b/>
          <w:sz w:val="20"/>
          <w:szCs w:val="22"/>
        </w:rPr>
        <w:t>Figure 23</w:t>
      </w:r>
      <w:r w:rsidR="00BB10D6">
        <w:rPr>
          <w:rFonts w:ascii="Calibri" w:eastAsia="Calibri" w:hAnsi="Calibri" w:cs="Times New Roman"/>
          <w:b/>
          <w:sz w:val="20"/>
          <w:szCs w:val="22"/>
        </w:rPr>
        <w:t>:</w:t>
      </w:r>
      <w:r w:rsidR="00BB10D6">
        <w:rPr>
          <w:rFonts w:ascii="Calibri" w:eastAsia="Calibri" w:hAnsi="Calibri" w:cs="Times New Roman"/>
          <w:sz w:val="20"/>
          <w:szCs w:val="22"/>
        </w:rPr>
        <w:t xml:space="preserve"> </w:t>
      </w:r>
      <w:r w:rsidR="00932F70">
        <w:rPr>
          <w:rFonts w:ascii="Calibri" w:eastAsia="Calibri" w:hAnsi="Calibri" w:cs="Times New Roman"/>
          <w:sz w:val="20"/>
          <w:szCs w:val="22"/>
        </w:rPr>
        <w:t>Qualifying developments’ compliance with the NIRA SPD</w:t>
      </w:r>
      <w:r w:rsidR="000B7EF1">
        <w:rPr>
          <w:rFonts w:ascii="Calibri" w:eastAsia="Calibri" w:hAnsi="Calibri" w:cs="Times New Roman"/>
          <w:sz w:val="20"/>
          <w:szCs w:val="22"/>
        </w:rPr>
        <w:t xml:space="preserve"> where </w:t>
      </w:r>
    </w:p>
    <w:p w:rsidR="00A838F8" w:rsidRPr="00FC00F7" w:rsidRDefault="000B7EF1" w:rsidP="00A838F8">
      <w:pPr>
        <w:spacing w:after="200" w:line="276" w:lineRule="auto"/>
        <w:jc w:val="center"/>
        <w:rPr>
          <w:rFonts w:ascii="Calibri" w:eastAsia="Calibri" w:hAnsi="Calibri" w:cs="Times New Roman"/>
          <w:sz w:val="20"/>
          <w:szCs w:val="22"/>
        </w:rPr>
      </w:pPr>
      <w:proofErr w:type="gramStart"/>
      <w:r>
        <w:rPr>
          <w:rFonts w:ascii="Calibri" w:eastAsia="Calibri" w:hAnsi="Calibri" w:cs="Times New Roman"/>
          <w:sz w:val="20"/>
          <w:szCs w:val="22"/>
        </w:rPr>
        <w:t>planning</w:t>
      </w:r>
      <w:proofErr w:type="gramEnd"/>
      <w:r>
        <w:rPr>
          <w:rFonts w:ascii="Calibri" w:eastAsia="Calibri" w:hAnsi="Calibri" w:cs="Times New Roman"/>
          <w:sz w:val="20"/>
          <w:szCs w:val="22"/>
        </w:rPr>
        <w:t xml:space="preserve"> permission was granted in 2013/14</w:t>
      </w:r>
    </w:p>
    <w:p w:rsidR="002B5835" w:rsidRDefault="002B5835"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In 2013/14, </w:t>
      </w:r>
      <w:r w:rsidR="00856B37">
        <w:rPr>
          <w:rFonts w:ascii="Calibri" w:eastAsia="Calibri" w:hAnsi="Calibri" w:cs="Times New Roman"/>
          <w:sz w:val="22"/>
          <w:szCs w:val="22"/>
        </w:rPr>
        <w:t>14 applications</w:t>
      </w:r>
      <w:r>
        <w:rPr>
          <w:rFonts w:ascii="Calibri" w:eastAsia="Calibri" w:hAnsi="Calibri" w:cs="Times New Roman"/>
          <w:sz w:val="22"/>
          <w:szCs w:val="22"/>
        </w:rPr>
        <w:t xml:space="preserve"> </w:t>
      </w:r>
      <w:r w:rsidR="000E37D4">
        <w:rPr>
          <w:rFonts w:ascii="Calibri" w:eastAsia="Calibri" w:hAnsi="Calibri" w:cs="Times New Roman"/>
          <w:sz w:val="22"/>
          <w:szCs w:val="22"/>
        </w:rPr>
        <w:t xml:space="preserve">that </w:t>
      </w:r>
      <w:r>
        <w:rPr>
          <w:rFonts w:ascii="Calibri" w:eastAsia="Calibri" w:hAnsi="Calibri" w:cs="Times New Roman"/>
          <w:sz w:val="22"/>
          <w:szCs w:val="22"/>
        </w:rPr>
        <w:t>qualified</w:t>
      </w:r>
      <w:r w:rsidR="00856B37">
        <w:rPr>
          <w:rFonts w:ascii="Calibri" w:eastAsia="Calibri" w:hAnsi="Calibri" w:cs="Times New Roman"/>
          <w:sz w:val="22"/>
          <w:szCs w:val="22"/>
        </w:rPr>
        <w:t xml:space="preserve"> </w:t>
      </w:r>
      <w:r>
        <w:rPr>
          <w:rFonts w:ascii="Calibri" w:eastAsia="Calibri" w:hAnsi="Calibri" w:cs="Times New Roman"/>
          <w:sz w:val="22"/>
          <w:szCs w:val="22"/>
        </w:rPr>
        <w:t>for submitting a</w:t>
      </w:r>
      <w:r w:rsidR="00856B37">
        <w:rPr>
          <w:rFonts w:ascii="Calibri" w:eastAsia="Calibri" w:hAnsi="Calibri" w:cs="Times New Roman"/>
          <w:sz w:val="22"/>
          <w:szCs w:val="22"/>
        </w:rPr>
        <w:t xml:space="preserve"> NRIA </w:t>
      </w:r>
      <w:r w:rsidR="000E37D4">
        <w:rPr>
          <w:rFonts w:ascii="Calibri" w:eastAsia="Calibri" w:hAnsi="Calibri" w:cs="Times New Roman"/>
          <w:sz w:val="22"/>
          <w:szCs w:val="22"/>
        </w:rPr>
        <w:t xml:space="preserve">were </w:t>
      </w:r>
      <w:r>
        <w:rPr>
          <w:rFonts w:ascii="Calibri" w:eastAsia="Calibri" w:hAnsi="Calibri" w:cs="Times New Roman"/>
          <w:sz w:val="22"/>
          <w:szCs w:val="22"/>
        </w:rPr>
        <w:t>granted planning permission</w:t>
      </w:r>
      <w:r w:rsidR="000E37D4">
        <w:rPr>
          <w:rFonts w:ascii="Calibri" w:eastAsia="Calibri" w:hAnsi="Calibri" w:cs="Times New Roman"/>
          <w:sz w:val="22"/>
          <w:szCs w:val="22"/>
        </w:rPr>
        <w:t xml:space="preserve">. </w:t>
      </w:r>
      <w:r>
        <w:rPr>
          <w:rFonts w:ascii="Calibri" w:eastAsia="Calibri" w:hAnsi="Calibri" w:cs="Times New Roman"/>
          <w:sz w:val="22"/>
          <w:szCs w:val="22"/>
        </w:rPr>
        <w:t>Of these applications,</w:t>
      </w:r>
      <w:r w:rsidR="000E37D4">
        <w:rPr>
          <w:rFonts w:ascii="Calibri" w:eastAsia="Calibri" w:hAnsi="Calibri" w:cs="Times New Roman"/>
          <w:sz w:val="22"/>
          <w:szCs w:val="22"/>
        </w:rPr>
        <w:t xml:space="preserve"> 13 achieved the</w:t>
      </w:r>
      <w:r>
        <w:rPr>
          <w:rFonts w:ascii="Calibri" w:eastAsia="Calibri" w:hAnsi="Calibri" w:cs="Times New Roman"/>
          <w:sz w:val="22"/>
          <w:szCs w:val="22"/>
        </w:rPr>
        <w:t xml:space="preserve"> required</w:t>
      </w:r>
      <w:r w:rsidR="000E37D4">
        <w:rPr>
          <w:rFonts w:ascii="Calibri" w:eastAsia="Calibri" w:hAnsi="Calibri" w:cs="Times New Roman"/>
          <w:sz w:val="22"/>
          <w:szCs w:val="22"/>
        </w:rPr>
        <w:t xml:space="preserve"> score of 6 out of 11, with </w:t>
      </w:r>
      <w:r>
        <w:rPr>
          <w:rFonts w:ascii="Calibri" w:eastAsia="Calibri" w:hAnsi="Calibri" w:cs="Times New Roman"/>
          <w:sz w:val="22"/>
          <w:szCs w:val="22"/>
        </w:rPr>
        <w:t>nine applications</w:t>
      </w:r>
      <w:r w:rsidR="000E37D4">
        <w:rPr>
          <w:rFonts w:ascii="Calibri" w:eastAsia="Calibri" w:hAnsi="Calibri" w:cs="Times New Roman"/>
          <w:sz w:val="22"/>
          <w:szCs w:val="22"/>
        </w:rPr>
        <w:t xml:space="preserve"> achieving</w:t>
      </w:r>
      <w:r>
        <w:rPr>
          <w:rFonts w:ascii="Calibri" w:eastAsia="Calibri" w:hAnsi="Calibri" w:cs="Times New Roman"/>
          <w:sz w:val="22"/>
          <w:szCs w:val="22"/>
        </w:rPr>
        <w:t xml:space="preserve"> scores of 8 or higher</w:t>
      </w:r>
      <w:r w:rsidR="000E37D4">
        <w:rPr>
          <w:rFonts w:ascii="Calibri" w:eastAsia="Calibri" w:hAnsi="Calibri" w:cs="Times New Roman"/>
          <w:sz w:val="22"/>
          <w:szCs w:val="22"/>
        </w:rPr>
        <w:t>. This suggests that the NRIA continues to provide a useful measure of the sustainability of new developments and that the targets remain both relevant and achievable.</w:t>
      </w:r>
      <w:r>
        <w:rPr>
          <w:rFonts w:ascii="Calibri" w:eastAsia="Calibri" w:hAnsi="Calibri" w:cs="Times New Roman"/>
          <w:sz w:val="22"/>
          <w:szCs w:val="22"/>
        </w:rPr>
        <w:t xml:space="preserve"> </w:t>
      </w:r>
    </w:p>
    <w:p w:rsidR="00C9439B" w:rsidRDefault="002B5835" w:rsidP="004335B5">
      <w:pPr>
        <w:numPr>
          <w:ilvl w:val="0"/>
          <w:numId w:val="7"/>
        </w:numPr>
        <w:spacing w:after="200" w:line="276" w:lineRule="auto"/>
        <w:jc w:val="both"/>
        <w:rPr>
          <w:rFonts w:ascii="Calibri" w:eastAsia="Calibri" w:hAnsi="Calibri" w:cs="Times New Roman"/>
          <w:sz w:val="22"/>
          <w:szCs w:val="22"/>
        </w:rPr>
      </w:pPr>
      <w:r w:rsidRPr="002B5835">
        <w:rPr>
          <w:rFonts w:ascii="Calibri" w:eastAsia="Calibri" w:hAnsi="Calibri" w:cs="Times New Roman"/>
          <w:sz w:val="22"/>
          <w:szCs w:val="22"/>
        </w:rPr>
        <w:t xml:space="preserve">A total checklist score was </w:t>
      </w:r>
      <w:r>
        <w:rPr>
          <w:rFonts w:ascii="Calibri" w:eastAsia="Calibri" w:hAnsi="Calibri" w:cs="Times New Roman"/>
          <w:sz w:val="22"/>
          <w:szCs w:val="22"/>
        </w:rPr>
        <w:t>not included with one application, but it did include a detailed report showing that all the NRIA requirements had been considered.</w:t>
      </w:r>
    </w:p>
    <w:p w:rsidR="000B7EF1" w:rsidRDefault="00552D3F"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The NRIA SPD sets a minimum standard of 20% of all qualifying developments’ energy needs to be met by renewable energy generated on site. Only one application was unable to meet this target and this was due to the specific limitations of th</w:t>
      </w:r>
      <w:r w:rsidR="008B306D">
        <w:rPr>
          <w:rFonts w:ascii="Calibri" w:eastAsia="Calibri" w:hAnsi="Calibri" w:cs="Times New Roman"/>
          <w:sz w:val="22"/>
          <w:szCs w:val="22"/>
        </w:rPr>
        <w:t>e site (as detailed in Figure 23</w:t>
      </w:r>
      <w:r>
        <w:rPr>
          <w:rFonts w:ascii="Calibri" w:eastAsia="Calibri" w:hAnsi="Calibri" w:cs="Times New Roman"/>
          <w:sz w:val="22"/>
          <w:szCs w:val="22"/>
        </w:rPr>
        <w:t xml:space="preserve">). It should also be noted that a number of applications were able to exceed this target, with some proposing to meet significantly higher proportions of the development’s energy requirements through renewable energy generated on site.  </w:t>
      </w:r>
    </w:p>
    <w:p w:rsidR="00A838F8" w:rsidRDefault="00A838F8" w:rsidP="00A31762">
      <w:pPr>
        <w:rPr>
          <w:rFonts w:ascii="Calibri" w:eastAsia="Calibri" w:hAnsi="Calibri" w:cs="Times New Roman"/>
          <w:sz w:val="22"/>
          <w:szCs w:val="22"/>
        </w:rPr>
      </w:pPr>
    </w:p>
    <w:p w:rsidR="00A838F8" w:rsidRDefault="00A838F8" w:rsidP="00A31762">
      <w:pPr>
        <w:rPr>
          <w:rFonts w:ascii="Calibri" w:eastAsia="Calibri" w:hAnsi="Calibri" w:cs="Times New Roman"/>
          <w:sz w:val="22"/>
          <w:szCs w:val="22"/>
        </w:rPr>
      </w:pPr>
    </w:p>
    <w:p w:rsidR="00A838F8" w:rsidRDefault="00A838F8" w:rsidP="00A31762">
      <w:pPr>
        <w:rPr>
          <w:rFonts w:ascii="Calibri" w:eastAsia="Calibri" w:hAnsi="Calibri" w:cs="Times New Roman"/>
          <w:sz w:val="22"/>
          <w:szCs w:val="22"/>
        </w:rPr>
      </w:pPr>
    </w:p>
    <w:p w:rsidR="00A838F8" w:rsidRDefault="00A838F8" w:rsidP="00A31762">
      <w:pPr>
        <w:rPr>
          <w:rFonts w:ascii="Calibri" w:eastAsia="Calibri" w:hAnsi="Calibri" w:cs="Times New Roman"/>
          <w:sz w:val="22"/>
          <w:szCs w:val="22"/>
        </w:rPr>
      </w:pPr>
    </w:p>
    <w:p w:rsidR="00A838F8" w:rsidRDefault="00A838F8" w:rsidP="00A31762">
      <w:pPr>
        <w:rPr>
          <w:rFonts w:ascii="Calibri" w:eastAsia="Calibri" w:hAnsi="Calibri" w:cs="Times New Roman"/>
          <w:sz w:val="22"/>
          <w:szCs w:val="22"/>
        </w:rPr>
      </w:pPr>
    </w:p>
    <w:p w:rsidR="00AD2C54" w:rsidRDefault="00AD2C54" w:rsidP="00A31762">
      <w:pPr>
        <w:rPr>
          <w:rFonts w:ascii="Calibri" w:eastAsia="Calibri" w:hAnsi="Calibri" w:cs="Times New Roman"/>
          <w:sz w:val="22"/>
          <w:szCs w:val="22"/>
        </w:rPr>
      </w:pPr>
    </w:p>
    <w:p w:rsidR="00B53242" w:rsidRDefault="00B53242" w:rsidP="00A31762">
      <w:pPr>
        <w:rPr>
          <w:rFonts w:ascii="Calibri" w:eastAsia="Calibri" w:hAnsi="Calibri" w:cs="Times New Roman"/>
          <w:sz w:val="22"/>
          <w:szCs w:val="22"/>
        </w:rPr>
      </w:pPr>
    </w:p>
    <w:p w:rsidR="00552D3F" w:rsidRDefault="00552D3F" w:rsidP="00A31762">
      <w:pPr>
        <w:rPr>
          <w:rFonts w:ascii="Calibri" w:eastAsia="Calibri" w:hAnsi="Calibri" w:cs="Times New Roman"/>
          <w:sz w:val="22"/>
          <w:szCs w:val="22"/>
        </w:rPr>
      </w:pPr>
    </w:p>
    <w:p w:rsidR="00D36778" w:rsidRDefault="00D36778" w:rsidP="00A31762">
      <w:pPr>
        <w:rPr>
          <w:color w:val="632423" w:themeColor="accent2" w:themeShade="80"/>
          <w:sz w:val="22"/>
          <w:szCs w:val="22"/>
        </w:rPr>
      </w:pPr>
    </w:p>
    <w:p w:rsidR="00D36778" w:rsidRPr="000B530E" w:rsidRDefault="00A838F8" w:rsidP="00D36778">
      <w:pPr>
        <w:autoSpaceDE w:val="0"/>
        <w:autoSpaceDN w:val="0"/>
        <w:adjustRightInd w:val="0"/>
        <w:jc w:val="both"/>
        <w:rPr>
          <w:rFonts w:ascii="Calibri" w:eastAsia="Calibri" w:hAnsi="Calibri" w:cs="Calibri"/>
          <w:color w:val="3F4F21"/>
        </w:rPr>
      </w:pPr>
      <w:r w:rsidRPr="00A838F8">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78400" behindDoc="0" locked="0" layoutInCell="1" allowOverlap="1" wp14:anchorId="736FC9FD" wp14:editId="22A4DCE8">
                <wp:simplePos x="0" y="0"/>
                <wp:positionH relativeFrom="column">
                  <wp:posOffset>3509645</wp:posOffset>
                </wp:positionH>
                <wp:positionV relativeFrom="paragraph">
                  <wp:posOffset>-594360</wp:posOffset>
                </wp:positionV>
                <wp:extent cx="2427605" cy="35242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A838F8">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8" o:spid="_x0000_s1073" type="#_x0000_t202" style="position:absolute;left:0;text-align:left;margin-left:276.35pt;margin-top:-46.8pt;width:191.15pt;height:27.7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" fillcolor="window" stroked="f" strokeweight=".5pt">
                <v:textbox>
                  <w:txbxContent>
                    <w:p w:rsidR="000D3CFF" w:rsidRPr="00483A60" w:rsidRDefault="000D3CFF" w:rsidP="00A838F8">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635CD2">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10464" behindDoc="1" locked="0" layoutInCell="1" allowOverlap="1" wp14:anchorId="29BB7CA3" wp14:editId="18A93037">
                <wp:simplePos x="0" y="0"/>
                <wp:positionH relativeFrom="column">
                  <wp:posOffset>-58420</wp:posOffset>
                </wp:positionH>
                <wp:positionV relativeFrom="paragraph">
                  <wp:posOffset>-40640</wp:posOffset>
                </wp:positionV>
                <wp:extent cx="5934075" cy="1771650"/>
                <wp:effectExtent l="0" t="0" r="9525" b="0"/>
                <wp:wrapNone/>
                <wp:docPr id="153" name="Rectangle 153"/>
                <wp:cNvGraphicFramePr/>
                <a:graphic xmlns:a="http://schemas.openxmlformats.org/drawingml/2006/main">
                  <a:graphicData uri="http://schemas.microsoft.com/office/word/2010/wordprocessingShape">
                    <wps:wsp>
                      <wps:cNvSpPr/>
                      <wps:spPr>
                        <a:xfrm>
                          <a:off x="0" y="0"/>
                          <a:ext cx="5934075" cy="1771650"/>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4.6pt;margin-top:-3.2pt;width:467.25pt;height:13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" fillcolor="#c2d69b [1942]" stroked="f" strokeweight="2pt"/>
            </w:pict>
          </mc:Fallback>
        </mc:AlternateContent>
      </w:r>
      <w:r w:rsidR="00D36778" w:rsidRPr="000B530E">
        <w:rPr>
          <w:rFonts w:ascii="Calibri" w:eastAsia="Calibri" w:hAnsi="Calibri" w:cs="Calibri"/>
          <w:b/>
          <w:color w:val="3F4F21"/>
        </w:rPr>
        <w:t>Indicator 2</w:t>
      </w:r>
      <w:r w:rsidR="00D36778">
        <w:rPr>
          <w:rFonts w:ascii="Calibri" w:eastAsia="Calibri" w:hAnsi="Calibri" w:cs="Calibri"/>
          <w:b/>
          <w:color w:val="3F4F21"/>
        </w:rPr>
        <w:t>5</w:t>
      </w:r>
      <w:r w:rsidR="00D36778" w:rsidRPr="000B530E">
        <w:rPr>
          <w:rFonts w:ascii="Calibri" w:eastAsia="Calibri" w:hAnsi="Calibri" w:cs="Calibri"/>
          <w:b/>
          <w:color w:val="3F4F21"/>
        </w:rPr>
        <w:t xml:space="preserve">: </w:t>
      </w:r>
      <w:r w:rsidR="00D36778">
        <w:rPr>
          <w:rFonts w:ascii="Calibri" w:eastAsia="Calibri" w:hAnsi="Calibri" w:cs="Calibri"/>
          <w:b/>
          <w:color w:val="3F4F21"/>
        </w:rPr>
        <w:t>DEVELOPMENT IN THE GREEN BELT</w:t>
      </w:r>
    </w:p>
    <w:p w:rsidR="00D36778" w:rsidRPr="000B530E" w:rsidRDefault="00D36778" w:rsidP="00D36778">
      <w:pPr>
        <w:autoSpaceDE w:val="0"/>
        <w:autoSpaceDN w:val="0"/>
        <w:adjustRightInd w:val="0"/>
        <w:jc w:val="both"/>
        <w:rPr>
          <w:rFonts w:ascii="Calibri" w:eastAsia="Calibri" w:hAnsi="Calibri" w:cs="Calibri"/>
          <w:b/>
          <w:color w:val="3F4F21"/>
          <w:sz w:val="10"/>
          <w:szCs w:val="22"/>
        </w:rPr>
      </w:pPr>
    </w:p>
    <w:p w:rsidR="00D36778" w:rsidRPr="000B530E" w:rsidRDefault="00D36778" w:rsidP="00D36778">
      <w:pPr>
        <w:autoSpaceDE w:val="0"/>
        <w:autoSpaceDN w:val="0"/>
        <w:adjustRightInd w:val="0"/>
        <w:jc w:val="both"/>
        <w:rPr>
          <w:rFonts w:ascii="Calibri" w:eastAsia="Calibri" w:hAnsi="Calibri" w:cs="Calibri"/>
          <w:b/>
          <w:color w:val="3F4F21"/>
          <w:sz w:val="22"/>
          <w:szCs w:val="22"/>
        </w:rPr>
      </w:pPr>
      <w:r w:rsidRPr="000B530E">
        <w:rPr>
          <w:rFonts w:ascii="Calibri" w:eastAsia="Calibri" w:hAnsi="Calibri" w:cs="Calibri"/>
          <w:b/>
          <w:color w:val="3F4F21"/>
          <w:sz w:val="22"/>
          <w:szCs w:val="22"/>
        </w:rPr>
        <w:t xml:space="preserve">Target: </w:t>
      </w:r>
      <w:r w:rsidRPr="00D36778">
        <w:rPr>
          <w:rFonts w:ascii="Calibri" w:eastAsia="Calibri" w:hAnsi="Calibri" w:cs="Calibri"/>
          <w:b/>
          <w:color w:val="3F4F21"/>
          <w:sz w:val="22"/>
          <w:szCs w:val="22"/>
        </w:rPr>
        <w:t>No inappropriate development in the Green Belt unless spec</w:t>
      </w:r>
      <w:r w:rsidR="00EC00D8">
        <w:rPr>
          <w:rFonts w:ascii="Calibri" w:eastAsia="Calibri" w:hAnsi="Calibri" w:cs="Calibri"/>
          <w:b/>
          <w:color w:val="3F4F21"/>
          <w:sz w:val="22"/>
          <w:szCs w:val="22"/>
        </w:rPr>
        <w:t>ifically allocated in Oxford’s Local Development Plan</w:t>
      </w:r>
      <w:r w:rsidR="00A234AB">
        <w:rPr>
          <w:rFonts w:ascii="Calibri" w:eastAsia="Calibri" w:hAnsi="Calibri" w:cs="Calibri"/>
          <w:color w:val="4F6228" w:themeColor="accent3" w:themeShade="80"/>
          <w:sz w:val="20"/>
          <w:szCs w:val="22"/>
        </w:rPr>
        <w:t xml:space="preserve"> (Oxford Core Strategy</w:t>
      </w:r>
      <w:r w:rsidR="00EC00D8" w:rsidRPr="00EC00D8">
        <w:rPr>
          <w:rFonts w:ascii="Calibri" w:eastAsia="Calibri" w:hAnsi="Calibri" w:cs="Calibri"/>
          <w:color w:val="4F6228" w:themeColor="accent3" w:themeShade="80"/>
          <w:sz w:val="20"/>
          <w:szCs w:val="22"/>
        </w:rPr>
        <w:t xml:space="preserve"> Policy CS</w:t>
      </w:r>
      <w:r w:rsidR="00EC00D8">
        <w:rPr>
          <w:rFonts w:ascii="Calibri" w:eastAsia="Calibri" w:hAnsi="Calibri" w:cs="Calibri"/>
          <w:color w:val="4F6228" w:themeColor="accent3" w:themeShade="80"/>
          <w:sz w:val="20"/>
          <w:szCs w:val="22"/>
        </w:rPr>
        <w:t>4</w:t>
      </w:r>
      <w:r w:rsidR="00EC00D8" w:rsidRPr="00EC00D8">
        <w:rPr>
          <w:rFonts w:ascii="Calibri" w:eastAsia="Calibri" w:hAnsi="Calibri" w:cs="Calibri"/>
          <w:color w:val="4F6228" w:themeColor="accent3" w:themeShade="80"/>
          <w:sz w:val="20"/>
          <w:szCs w:val="22"/>
        </w:rPr>
        <w:t>)</w:t>
      </w:r>
    </w:p>
    <w:p w:rsidR="00D36778" w:rsidRPr="000B530E" w:rsidRDefault="00D36778" w:rsidP="00D36778">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D36778" w:rsidRPr="000B530E" w:rsidTr="00080674">
        <w:trPr>
          <w:trHeight w:val="218"/>
        </w:trPr>
        <w:tc>
          <w:tcPr>
            <w:tcW w:w="5420" w:type="dxa"/>
          </w:tcPr>
          <w:p w:rsidR="00D36778" w:rsidRPr="000B530E" w:rsidRDefault="00D36778"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D36778" w:rsidRPr="000B530E" w:rsidTr="00080674">
        <w:tc>
          <w:tcPr>
            <w:tcW w:w="5420" w:type="dxa"/>
            <w:vMerge w:val="restart"/>
          </w:tcPr>
          <w:p w:rsidR="00D36778" w:rsidRPr="000B530E" w:rsidRDefault="00D36778" w:rsidP="00080674">
            <w:pPr>
              <w:autoSpaceDE w:val="0"/>
              <w:autoSpaceDN w:val="0"/>
              <w:adjustRightInd w:val="0"/>
              <w:jc w:val="center"/>
              <w:rPr>
                <w:rFonts w:ascii="Calibri" w:eastAsia="Calibri" w:hAnsi="Calibri" w:cs="Calibri"/>
                <w:b/>
                <w:color w:val="3F4F21"/>
                <w:sz w:val="8"/>
                <w:szCs w:val="8"/>
              </w:rPr>
            </w:pPr>
          </w:p>
          <w:p w:rsidR="00D36778" w:rsidRPr="000B530E" w:rsidRDefault="00800436"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2DAB6DE5" wp14:editId="24A3C1B6">
                  <wp:extent cx="1666875" cy="501917"/>
                  <wp:effectExtent l="0" t="0" r="0" b="0"/>
                  <wp:docPr id="115" name="Picture 11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394B1C97" wp14:editId="11948C8C">
                  <wp:extent cx="1085850" cy="326964"/>
                  <wp:effectExtent l="0" t="0" r="0" b="0"/>
                  <wp:docPr id="151" name="Picture 15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D36778" w:rsidRPr="000B530E" w:rsidRDefault="00D36778" w:rsidP="00080674">
            <w:pPr>
              <w:autoSpaceDE w:val="0"/>
              <w:autoSpaceDN w:val="0"/>
              <w:adjustRightInd w:val="0"/>
              <w:jc w:val="center"/>
              <w:rPr>
                <w:rFonts w:ascii="Calibri" w:eastAsia="Calibri" w:hAnsi="Calibri" w:cs="Calibri"/>
                <w:b/>
                <w:color w:val="3F4F21"/>
                <w:sz w:val="8"/>
                <w:szCs w:val="8"/>
              </w:rPr>
            </w:pPr>
          </w:p>
        </w:tc>
      </w:tr>
      <w:tr w:rsidR="00D36778" w:rsidRPr="000B530E" w:rsidTr="00080674">
        <w:tc>
          <w:tcPr>
            <w:tcW w:w="5420" w:type="dxa"/>
            <w:vMerge/>
          </w:tcPr>
          <w:p w:rsidR="00D36778" w:rsidRPr="000B530E" w:rsidRDefault="00D36778" w:rsidP="00080674">
            <w:pPr>
              <w:autoSpaceDE w:val="0"/>
              <w:autoSpaceDN w:val="0"/>
              <w:adjustRightInd w:val="0"/>
              <w:jc w:val="center"/>
              <w:rPr>
                <w:rFonts w:ascii="Calibri" w:eastAsia="Calibri" w:hAnsi="Calibri" w:cs="Calibri"/>
                <w:b/>
                <w:color w:val="3F4F21"/>
                <w:sz w:val="22"/>
                <w:szCs w:val="22"/>
              </w:rPr>
            </w:pP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0AE09979" wp14:editId="656C7CCA">
                  <wp:extent cx="1085850" cy="326964"/>
                  <wp:effectExtent l="0" t="0" r="0" b="0"/>
                  <wp:docPr id="152" name="Picture 15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r w:rsidR="00692529" w:rsidRPr="000B530E" w:rsidTr="00080674">
        <w:tc>
          <w:tcPr>
            <w:tcW w:w="5420" w:type="dxa"/>
          </w:tcPr>
          <w:p w:rsidR="00692529" w:rsidRPr="000B530E" w:rsidRDefault="00692529" w:rsidP="00C9439B">
            <w:pPr>
              <w:autoSpaceDE w:val="0"/>
              <w:autoSpaceDN w:val="0"/>
              <w:adjustRightInd w:val="0"/>
              <w:rPr>
                <w:rFonts w:ascii="Calibri" w:eastAsia="Calibri" w:hAnsi="Calibri" w:cs="Calibri"/>
                <w:b/>
                <w:color w:val="3F4F21"/>
                <w:sz w:val="22"/>
                <w:szCs w:val="22"/>
              </w:rPr>
            </w:pPr>
          </w:p>
        </w:tc>
        <w:tc>
          <w:tcPr>
            <w:tcW w:w="1101" w:type="dxa"/>
          </w:tcPr>
          <w:p w:rsidR="00692529" w:rsidRPr="000B530E" w:rsidRDefault="00692529" w:rsidP="00080674">
            <w:pPr>
              <w:autoSpaceDE w:val="0"/>
              <w:autoSpaceDN w:val="0"/>
              <w:adjustRightInd w:val="0"/>
              <w:rPr>
                <w:rFonts w:ascii="Calibri" w:eastAsia="Calibri" w:hAnsi="Calibri" w:cs="Calibri"/>
                <w:b/>
                <w:color w:val="3F4F21"/>
                <w:sz w:val="22"/>
                <w:szCs w:val="22"/>
              </w:rPr>
            </w:pPr>
          </w:p>
        </w:tc>
        <w:tc>
          <w:tcPr>
            <w:tcW w:w="2613" w:type="dxa"/>
          </w:tcPr>
          <w:p w:rsidR="00692529" w:rsidRPr="000B530E" w:rsidRDefault="00692529" w:rsidP="00080674">
            <w:pPr>
              <w:autoSpaceDE w:val="0"/>
              <w:autoSpaceDN w:val="0"/>
              <w:adjustRightInd w:val="0"/>
              <w:rPr>
                <w:b/>
                <w:noProof/>
                <w:color w:val="3F4F21"/>
                <w:sz w:val="32"/>
                <w:szCs w:val="32"/>
                <w:lang w:eastAsia="en-GB"/>
              </w:rPr>
            </w:pPr>
          </w:p>
        </w:tc>
      </w:tr>
    </w:tbl>
    <w:p w:rsidR="00635CD2" w:rsidRPr="00270458" w:rsidRDefault="008B306D"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Figure 24</w:t>
      </w:r>
      <w:r w:rsidR="00270458">
        <w:rPr>
          <w:rFonts w:ascii="Calibri" w:eastAsia="Calibri" w:hAnsi="Calibri" w:cs="Times New Roman"/>
          <w:sz w:val="22"/>
          <w:szCs w:val="22"/>
        </w:rPr>
        <w:t xml:space="preserve"> provides details of planning permissions granted for development in the Green Belt during the monitoring year. </w:t>
      </w:r>
      <w:r w:rsidR="00EA5A77">
        <w:rPr>
          <w:rFonts w:ascii="Calibri" w:eastAsia="Calibri" w:hAnsi="Calibri" w:cs="Times New Roman"/>
          <w:sz w:val="22"/>
          <w:szCs w:val="22"/>
        </w:rPr>
        <w:t xml:space="preserve"> </w:t>
      </w:r>
      <w:r w:rsidR="00270458">
        <w:rPr>
          <w:rFonts w:ascii="Calibri" w:eastAsia="Calibri" w:hAnsi="Calibri" w:cs="Times New Roman"/>
          <w:sz w:val="22"/>
          <w:szCs w:val="22"/>
        </w:rPr>
        <w:t>It shows that no</w:t>
      </w:r>
      <w:r w:rsidR="00F872A6">
        <w:rPr>
          <w:rFonts w:ascii="Calibri" w:eastAsia="Calibri" w:hAnsi="Calibri" w:cs="Times New Roman"/>
          <w:sz w:val="22"/>
          <w:szCs w:val="22"/>
        </w:rPr>
        <w:t xml:space="preserve"> inappropriate development was permitted in</w:t>
      </w:r>
      <w:r w:rsidR="00270458">
        <w:rPr>
          <w:rFonts w:ascii="Calibri" w:eastAsia="Calibri" w:hAnsi="Calibri" w:cs="Times New Roman"/>
          <w:sz w:val="22"/>
          <w:szCs w:val="22"/>
        </w:rPr>
        <w:t xml:space="preserve"> the Green Belt </w:t>
      </w:r>
      <w:r w:rsidR="00F872A6">
        <w:rPr>
          <w:rFonts w:ascii="Calibri" w:eastAsia="Calibri" w:hAnsi="Calibri" w:cs="Times New Roman"/>
          <w:sz w:val="22"/>
          <w:szCs w:val="22"/>
        </w:rPr>
        <w:t>during</w:t>
      </w:r>
      <w:r w:rsidR="00270458">
        <w:rPr>
          <w:rFonts w:ascii="Calibri" w:eastAsia="Calibri" w:hAnsi="Calibri" w:cs="Times New Roman"/>
          <w:sz w:val="22"/>
          <w:szCs w:val="22"/>
        </w:rPr>
        <w:t xml:space="preserve"> 2013/14.</w:t>
      </w: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093"/>
        <w:gridCol w:w="1417"/>
        <w:gridCol w:w="2552"/>
        <w:gridCol w:w="3180"/>
      </w:tblGrid>
      <w:tr w:rsidR="008E693A" w:rsidRPr="00BB10D6" w:rsidTr="00B43422">
        <w:tc>
          <w:tcPr>
            <w:tcW w:w="2093" w:type="dxa"/>
            <w:shd w:val="clear" w:color="auto" w:fill="D6E3BC" w:themeFill="accent3" w:themeFillTint="66"/>
          </w:tcPr>
          <w:p w:rsidR="008E693A" w:rsidRPr="00BB10D6" w:rsidRDefault="0037354A" w:rsidP="0037354A">
            <w:pPr>
              <w:spacing w:before="60" w:after="60"/>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Location</w:t>
            </w:r>
          </w:p>
        </w:tc>
        <w:tc>
          <w:tcPr>
            <w:tcW w:w="1417" w:type="dxa"/>
            <w:shd w:val="clear" w:color="auto" w:fill="D6E3BC" w:themeFill="accent3" w:themeFillTint="66"/>
          </w:tcPr>
          <w:p w:rsidR="008E693A" w:rsidRPr="008E693A" w:rsidRDefault="008E693A" w:rsidP="0037354A">
            <w:pPr>
              <w:spacing w:before="60" w:after="60"/>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Application Reference</w:t>
            </w:r>
          </w:p>
        </w:tc>
        <w:tc>
          <w:tcPr>
            <w:tcW w:w="2552" w:type="dxa"/>
            <w:shd w:val="clear" w:color="auto" w:fill="D6E3BC" w:themeFill="accent3" w:themeFillTint="66"/>
          </w:tcPr>
          <w:p w:rsidR="008E693A" w:rsidRPr="00BB10D6" w:rsidRDefault="008E693A" w:rsidP="0037354A">
            <w:pPr>
              <w:spacing w:before="60" w:after="60"/>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Development</w:t>
            </w:r>
          </w:p>
        </w:tc>
        <w:tc>
          <w:tcPr>
            <w:tcW w:w="3180" w:type="dxa"/>
            <w:shd w:val="clear" w:color="auto" w:fill="D6E3BC" w:themeFill="accent3" w:themeFillTint="66"/>
          </w:tcPr>
          <w:p w:rsidR="008E693A" w:rsidRPr="00BB10D6" w:rsidRDefault="008E693A" w:rsidP="0037354A">
            <w:pPr>
              <w:spacing w:before="60" w:after="60"/>
              <w:jc w:val="center"/>
              <w:rPr>
                <w:rFonts w:ascii="Calibri" w:eastAsia="Calibri" w:hAnsi="Calibri" w:cs="Times New Roman"/>
                <w:b/>
                <w:color w:val="404040" w:themeColor="text1" w:themeTint="BF"/>
                <w:sz w:val="20"/>
                <w:szCs w:val="22"/>
              </w:rPr>
            </w:pPr>
            <w:r>
              <w:rPr>
                <w:rFonts w:ascii="Calibri" w:eastAsia="Calibri" w:hAnsi="Calibri" w:cs="Times New Roman"/>
                <w:b/>
                <w:color w:val="404040" w:themeColor="text1" w:themeTint="BF"/>
                <w:sz w:val="20"/>
                <w:szCs w:val="22"/>
              </w:rPr>
              <w:t xml:space="preserve">Reason for Approval  </w:t>
            </w:r>
          </w:p>
        </w:tc>
      </w:tr>
      <w:tr w:rsidR="004832AE" w:rsidRPr="00BB10D6" w:rsidTr="0037354A">
        <w:tc>
          <w:tcPr>
            <w:tcW w:w="2093" w:type="dxa"/>
          </w:tcPr>
          <w:p w:rsidR="004832AE" w:rsidRDefault="00C119B9" w:rsidP="00C119B9">
            <w:pPr>
              <w:tabs>
                <w:tab w:val="left" w:pos="480"/>
                <w:tab w:val="center" w:pos="938"/>
              </w:tabs>
              <w:spacing w:before="60" w:after="60"/>
              <w:jc w:val="center"/>
              <w:rPr>
                <w:rFonts w:ascii="Calibri" w:hAnsi="Calibri" w:cs="Calibri"/>
                <w:sz w:val="20"/>
              </w:rPr>
            </w:pPr>
            <w:r>
              <w:rPr>
                <w:rFonts w:ascii="Calibri" w:hAnsi="Calibri" w:cs="Calibri"/>
                <w:sz w:val="20"/>
              </w:rPr>
              <w:t>Victoria Arms</w:t>
            </w:r>
          </w:p>
          <w:p w:rsidR="00C119B9" w:rsidRPr="0037354A" w:rsidRDefault="00C119B9" w:rsidP="00451E03">
            <w:pPr>
              <w:tabs>
                <w:tab w:val="left" w:pos="480"/>
                <w:tab w:val="center" w:pos="938"/>
              </w:tabs>
              <w:spacing w:before="60" w:after="60"/>
              <w:jc w:val="center"/>
              <w:rPr>
                <w:rFonts w:ascii="Calibri" w:hAnsi="Calibri" w:cs="Calibri"/>
                <w:sz w:val="20"/>
              </w:rPr>
            </w:pPr>
            <w:r>
              <w:rPr>
                <w:rFonts w:ascii="Calibri" w:hAnsi="Calibri" w:cs="Calibri"/>
                <w:sz w:val="20"/>
              </w:rPr>
              <w:t>Mill Lane</w:t>
            </w:r>
          </w:p>
        </w:tc>
        <w:tc>
          <w:tcPr>
            <w:tcW w:w="1417" w:type="dxa"/>
          </w:tcPr>
          <w:p w:rsidR="004832AE" w:rsidRPr="0037354A" w:rsidRDefault="00C119B9" w:rsidP="00C119B9">
            <w:pPr>
              <w:spacing w:before="60" w:after="60"/>
              <w:jc w:val="center"/>
              <w:rPr>
                <w:rFonts w:ascii="Calibri" w:hAnsi="Calibri" w:cs="Calibri"/>
                <w:sz w:val="20"/>
              </w:rPr>
            </w:pPr>
            <w:r>
              <w:rPr>
                <w:rFonts w:ascii="Calibri" w:hAnsi="Calibri" w:cs="Calibri"/>
                <w:sz w:val="20"/>
              </w:rPr>
              <w:t>13/00702/FUL</w:t>
            </w:r>
          </w:p>
        </w:tc>
        <w:tc>
          <w:tcPr>
            <w:tcW w:w="2552" w:type="dxa"/>
          </w:tcPr>
          <w:p w:rsidR="004832AE" w:rsidRPr="0037354A" w:rsidRDefault="00451E03" w:rsidP="00451E03">
            <w:pPr>
              <w:spacing w:before="60" w:after="60"/>
              <w:rPr>
                <w:rFonts w:ascii="Calibri" w:hAnsi="Calibri" w:cs="Calibri"/>
                <w:sz w:val="20"/>
              </w:rPr>
            </w:pPr>
            <w:r w:rsidRPr="00451E03">
              <w:rPr>
                <w:rFonts w:ascii="Calibri" w:hAnsi="Calibri" w:cs="Calibri"/>
                <w:sz w:val="20"/>
              </w:rPr>
              <w:t xml:space="preserve">Erection of single storey front extension to from dining space, and single storey extension to existing garage to form office. Erection of first floor extension over existing garage with formation of internal link to main building to form extended first floor living accommodation. Insertion of first floor dormer window to rear </w:t>
            </w:r>
          </w:p>
        </w:tc>
        <w:tc>
          <w:tcPr>
            <w:tcW w:w="3180" w:type="dxa"/>
            <w:shd w:val="clear" w:color="auto" w:fill="auto"/>
          </w:tcPr>
          <w:p w:rsidR="004832AE" w:rsidRPr="0037354A" w:rsidRDefault="00451E03" w:rsidP="0037354A">
            <w:pPr>
              <w:spacing w:before="60" w:after="60"/>
              <w:rPr>
                <w:rFonts w:ascii="Calibri" w:hAnsi="Calibri" w:cs="Calibri"/>
                <w:sz w:val="20"/>
              </w:rPr>
            </w:pPr>
            <w:r>
              <w:rPr>
                <w:rFonts w:ascii="Calibri" w:hAnsi="Calibri" w:cs="Calibri"/>
                <w:sz w:val="20"/>
              </w:rPr>
              <w:t>Small scale extensions to an existing public house that would not detract from the rural and open aspect of the site.</w:t>
            </w:r>
          </w:p>
        </w:tc>
      </w:tr>
      <w:tr w:rsidR="004832AE" w:rsidRPr="00BB10D6" w:rsidTr="0037354A">
        <w:tc>
          <w:tcPr>
            <w:tcW w:w="2093" w:type="dxa"/>
          </w:tcPr>
          <w:p w:rsidR="0037354A" w:rsidRDefault="00451E03" w:rsidP="00C119B9">
            <w:pPr>
              <w:spacing w:before="60" w:after="60"/>
              <w:jc w:val="center"/>
              <w:rPr>
                <w:rFonts w:ascii="Calibri" w:hAnsi="Calibri" w:cs="Calibri"/>
                <w:sz w:val="20"/>
              </w:rPr>
            </w:pPr>
            <w:r>
              <w:rPr>
                <w:rFonts w:ascii="Calibri" w:hAnsi="Calibri" w:cs="Calibri"/>
                <w:sz w:val="20"/>
              </w:rPr>
              <w:t>Falcon Rowing &amp; Canoe Club</w:t>
            </w:r>
          </w:p>
          <w:p w:rsidR="00451E03" w:rsidRPr="0037354A" w:rsidRDefault="00451E03" w:rsidP="00C119B9">
            <w:pPr>
              <w:spacing w:before="60" w:after="60"/>
              <w:jc w:val="center"/>
              <w:rPr>
                <w:rFonts w:ascii="Calibri" w:hAnsi="Calibri" w:cs="Calibri"/>
                <w:sz w:val="20"/>
              </w:rPr>
            </w:pPr>
            <w:r>
              <w:rPr>
                <w:rFonts w:ascii="Calibri" w:hAnsi="Calibri" w:cs="Calibri"/>
                <w:sz w:val="20"/>
              </w:rPr>
              <w:t>Meadow Lane</w:t>
            </w:r>
          </w:p>
        </w:tc>
        <w:tc>
          <w:tcPr>
            <w:tcW w:w="1417" w:type="dxa"/>
          </w:tcPr>
          <w:p w:rsidR="004832AE" w:rsidRPr="0037354A" w:rsidRDefault="00451E03" w:rsidP="00C119B9">
            <w:pPr>
              <w:spacing w:before="60" w:after="60"/>
              <w:jc w:val="center"/>
              <w:rPr>
                <w:rFonts w:ascii="Calibri" w:hAnsi="Calibri" w:cs="Calibri"/>
                <w:sz w:val="20"/>
              </w:rPr>
            </w:pPr>
            <w:r>
              <w:rPr>
                <w:rFonts w:ascii="Calibri" w:hAnsi="Calibri" w:cs="Calibri"/>
                <w:sz w:val="20"/>
              </w:rPr>
              <w:t>13/01655/EXT</w:t>
            </w:r>
          </w:p>
        </w:tc>
        <w:tc>
          <w:tcPr>
            <w:tcW w:w="2552" w:type="dxa"/>
          </w:tcPr>
          <w:p w:rsidR="004832AE" w:rsidRPr="0037354A" w:rsidRDefault="00451E03" w:rsidP="004736CF">
            <w:pPr>
              <w:spacing w:before="60" w:after="60"/>
              <w:rPr>
                <w:rFonts w:ascii="Calibri" w:hAnsi="Calibri" w:cs="Calibri"/>
                <w:sz w:val="20"/>
              </w:rPr>
            </w:pPr>
            <w:r w:rsidRPr="00451E03">
              <w:rPr>
                <w:rFonts w:ascii="Calibri" w:hAnsi="Calibri" w:cs="Calibri"/>
                <w:sz w:val="20"/>
              </w:rPr>
              <w:t xml:space="preserve">Application to extend </w:t>
            </w:r>
            <w:r w:rsidR="00DB0858">
              <w:rPr>
                <w:rFonts w:ascii="Calibri" w:hAnsi="Calibri" w:cs="Calibri"/>
                <w:sz w:val="20"/>
              </w:rPr>
              <w:t>the time limit for implementi</w:t>
            </w:r>
            <w:r w:rsidRPr="00451E03">
              <w:rPr>
                <w:rFonts w:ascii="Calibri" w:hAnsi="Calibri" w:cs="Calibri"/>
                <w:sz w:val="20"/>
              </w:rPr>
              <w:t>n</w:t>
            </w:r>
            <w:r w:rsidR="00DB0858">
              <w:rPr>
                <w:rFonts w:ascii="Calibri" w:hAnsi="Calibri" w:cs="Calibri"/>
                <w:sz w:val="20"/>
              </w:rPr>
              <w:t xml:space="preserve">g </w:t>
            </w:r>
            <w:r w:rsidRPr="00451E03">
              <w:rPr>
                <w:rFonts w:ascii="Calibri" w:hAnsi="Calibri" w:cs="Calibri"/>
                <w:sz w:val="20"/>
              </w:rPr>
              <w:t>pl</w:t>
            </w:r>
            <w:r w:rsidR="00DB0858">
              <w:rPr>
                <w:rFonts w:ascii="Calibri" w:hAnsi="Calibri" w:cs="Calibri"/>
                <w:sz w:val="20"/>
              </w:rPr>
              <w:t xml:space="preserve">anning permission 09/01918/FUL: </w:t>
            </w:r>
            <w:r w:rsidRPr="00451E03">
              <w:rPr>
                <w:rFonts w:ascii="Calibri" w:hAnsi="Calibri" w:cs="Calibri"/>
                <w:sz w:val="20"/>
              </w:rPr>
              <w:t>Demolition of existing boathouse and redevelopment of boathouse with club facilities, asso</w:t>
            </w:r>
            <w:r w:rsidR="00DB0858">
              <w:rPr>
                <w:rFonts w:ascii="Calibri" w:hAnsi="Calibri" w:cs="Calibri"/>
                <w:sz w:val="20"/>
              </w:rPr>
              <w:t>ciated storage and landscaping</w:t>
            </w:r>
            <w:r w:rsidRPr="00451E03">
              <w:rPr>
                <w:rFonts w:ascii="Calibri" w:hAnsi="Calibri" w:cs="Calibri"/>
                <w:sz w:val="20"/>
              </w:rPr>
              <w:t>.</w:t>
            </w:r>
          </w:p>
        </w:tc>
        <w:tc>
          <w:tcPr>
            <w:tcW w:w="3180" w:type="dxa"/>
            <w:shd w:val="clear" w:color="auto" w:fill="auto"/>
          </w:tcPr>
          <w:p w:rsidR="004832AE" w:rsidRPr="0037354A" w:rsidRDefault="000325FC" w:rsidP="003F17F4">
            <w:pPr>
              <w:spacing w:before="60" w:after="60"/>
              <w:rPr>
                <w:rFonts w:ascii="Calibri" w:hAnsi="Calibri" w:cs="Calibri"/>
                <w:sz w:val="20"/>
              </w:rPr>
            </w:pPr>
            <w:r>
              <w:rPr>
                <w:rFonts w:ascii="Calibri" w:hAnsi="Calibri" w:cs="Calibri"/>
                <w:sz w:val="20"/>
              </w:rPr>
              <w:t>This was an a</w:t>
            </w:r>
            <w:r w:rsidR="00451E03">
              <w:rPr>
                <w:rFonts w:ascii="Calibri" w:hAnsi="Calibri" w:cs="Calibri"/>
                <w:sz w:val="20"/>
              </w:rPr>
              <w:t>pplication to extend the t</w:t>
            </w:r>
            <w:r>
              <w:rPr>
                <w:rFonts w:ascii="Calibri" w:hAnsi="Calibri" w:cs="Calibri"/>
                <w:sz w:val="20"/>
              </w:rPr>
              <w:t>ime period allowed for implementing a permission granted in 2010. There had been no changes to national or local policy</w:t>
            </w:r>
            <w:r w:rsidR="003F17F4">
              <w:rPr>
                <w:rFonts w:ascii="Calibri" w:hAnsi="Calibri" w:cs="Calibri"/>
                <w:sz w:val="20"/>
              </w:rPr>
              <w:t>,</w:t>
            </w:r>
            <w:r>
              <w:rPr>
                <w:rFonts w:ascii="Calibri" w:hAnsi="Calibri" w:cs="Calibri"/>
                <w:sz w:val="20"/>
              </w:rPr>
              <w:t xml:space="preserve"> or other material considerations</w:t>
            </w:r>
            <w:r w:rsidR="003F17F4">
              <w:rPr>
                <w:rFonts w:ascii="Calibri" w:hAnsi="Calibri" w:cs="Calibri"/>
                <w:sz w:val="20"/>
              </w:rPr>
              <w:t>,</w:t>
            </w:r>
            <w:r>
              <w:rPr>
                <w:rFonts w:ascii="Calibri" w:hAnsi="Calibri" w:cs="Calibri"/>
                <w:sz w:val="20"/>
              </w:rPr>
              <w:t xml:space="preserve"> that </w:t>
            </w:r>
            <w:r w:rsidR="00444168">
              <w:rPr>
                <w:rFonts w:ascii="Calibri" w:hAnsi="Calibri" w:cs="Calibri"/>
                <w:sz w:val="20"/>
              </w:rPr>
              <w:t>meant that the development would now be considered unacceptable.</w:t>
            </w:r>
          </w:p>
        </w:tc>
      </w:tr>
      <w:tr w:rsidR="00C119B9" w:rsidRPr="00BB10D6" w:rsidTr="0037354A">
        <w:tc>
          <w:tcPr>
            <w:tcW w:w="2093" w:type="dxa"/>
          </w:tcPr>
          <w:p w:rsidR="00C119B9" w:rsidRDefault="00451E03" w:rsidP="00C119B9">
            <w:pPr>
              <w:spacing w:before="60" w:after="60"/>
              <w:jc w:val="center"/>
              <w:rPr>
                <w:rFonts w:ascii="Calibri" w:hAnsi="Calibri" w:cs="Calibri"/>
                <w:sz w:val="20"/>
              </w:rPr>
            </w:pPr>
            <w:r>
              <w:rPr>
                <w:rFonts w:ascii="Calibri" w:hAnsi="Calibri" w:cs="Calibri"/>
                <w:sz w:val="20"/>
              </w:rPr>
              <w:t xml:space="preserve">1 </w:t>
            </w:r>
            <w:proofErr w:type="spellStart"/>
            <w:r>
              <w:rPr>
                <w:rFonts w:ascii="Calibri" w:hAnsi="Calibri" w:cs="Calibri"/>
                <w:sz w:val="20"/>
              </w:rPr>
              <w:t>Cowley</w:t>
            </w:r>
            <w:proofErr w:type="spellEnd"/>
            <w:r>
              <w:rPr>
                <w:rFonts w:ascii="Calibri" w:hAnsi="Calibri" w:cs="Calibri"/>
                <w:sz w:val="20"/>
              </w:rPr>
              <w:t xml:space="preserve"> Place</w:t>
            </w:r>
          </w:p>
        </w:tc>
        <w:tc>
          <w:tcPr>
            <w:tcW w:w="1417" w:type="dxa"/>
          </w:tcPr>
          <w:p w:rsidR="00C119B9" w:rsidRPr="0037354A" w:rsidRDefault="00451E03" w:rsidP="00C119B9">
            <w:pPr>
              <w:spacing w:before="60" w:after="60"/>
              <w:jc w:val="center"/>
              <w:rPr>
                <w:rFonts w:ascii="Calibri" w:hAnsi="Calibri" w:cs="Calibri"/>
                <w:sz w:val="20"/>
              </w:rPr>
            </w:pPr>
            <w:r>
              <w:rPr>
                <w:rFonts w:ascii="Calibri" w:hAnsi="Calibri" w:cs="Calibri"/>
                <w:sz w:val="20"/>
              </w:rPr>
              <w:t>13/03059/FUL</w:t>
            </w:r>
          </w:p>
        </w:tc>
        <w:tc>
          <w:tcPr>
            <w:tcW w:w="2552" w:type="dxa"/>
          </w:tcPr>
          <w:p w:rsidR="00C119B9" w:rsidRPr="0037354A" w:rsidRDefault="00444168" w:rsidP="004736CF">
            <w:pPr>
              <w:spacing w:before="60" w:after="60"/>
              <w:rPr>
                <w:rFonts w:ascii="Calibri" w:hAnsi="Calibri" w:cs="Calibri"/>
                <w:sz w:val="20"/>
              </w:rPr>
            </w:pPr>
            <w:r w:rsidRPr="00444168">
              <w:rPr>
                <w:rFonts w:ascii="Calibri" w:hAnsi="Calibri" w:cs="Calibri"/>
                <w:sz w:val="20"/>
              </w:rPr>
              <w:t>Reinstatement of failed river bank wall.</w:t>
            </w:r>
          </w:p>
        </w:tc>
        <w:tc>
          <w:tcPr>
            <w:tcW w:w="3180" w:type="dxa"/>
            <w:shd w:val="clear" w:color="auto" w:fill="auto"/>
          </w:tcPr>
          <w:p w:rsidR="00C119B9" w:rsidRPr="0037354A" w:rsidRDefault="00444168" w:rsidP="00EE1238">
            <w:pPr>
              <w:spacing w:before="60" w:after="60"/>
              <w:rPr>
                <w:rFonts w:ascii="Calibri" w:hAnsi="Calibri" w:cs="Calibri"/>
                <w:sz w:val="20"/>
              </w:rPr>
            </w:pPr>
            <w:r w:rsidRPr="00444168">
              <w:rPr>
                <w:rFonts w:ascii="Calibri" w:hAnsi="Calibri" w:cs="Calibri"/>
                <w:sz w:val="20"/>
              </w:rPr>
              <w:t>As the proposals sit mainly below water level and are vegetated the visual impact will be minimal and in fact an improvement on the current collapsed wall</w:t>
            </w:r>
            <w:r w:rsidR="00DB0858">
              <w:rPr>
                <w:rFonts w:ascii="Calibri" w:hAnsi="Calibri" w:cs="Calibri"/>
                <w:sz w:val="20"/>
              </w:rPr>
              <w:t>. T</w:t>
            </w:r>
            <w:r w:rsidRPr="00444168">
              <w:rPr>
                <w:rFonts w:ascii="Calibri" w:hAnsi="Calibri" w:cs="Calibri"/>
                <w:sz w:val="20"/>
              </w:rPr>
              <w:t xml:space="preserve">herefore </w:t>
            </w:r>
            <w:r w:rsidR="00DB0858">
              <w:rPr>
                <w:rFonts w:ascii="Calibri" w:hAnsi="Calibri" w:cs="Calibri"/>
                <w:sz w:val="20"/>
              </w:rPr>
              <w:t xml:space="preserve">it </w:t>
            </w:r>
            <w:r w:rsidRPr="00444168">
              <w:rPr>
                <w:rFonts w:ascii="Calibri" w:hAnsi="Calibri" w:cs="Calibri"/>
                <w:sz w:val="20"/>
              </w:rPr>
              <w:t xml:space="preserve">will not detract </w:t>
            </w:r>
            <w:r w:rsidR="00DB0858">
              <w:rPr>
                <w:rFonts w:ascii="Calibri" w:hAnsi="Calibri" w:cs="Calibri"/>
                <w:sz w:val="20"/>
              </w:rPr>
              <w:t xml:space="preserve">from </w:t>
            </w:r>
            <w:r w:rsidRPr="00444168">
              <w:rPr>
                <w:rFonts w:ascii="Calibri" w:hAnsi="Calibri" w:cs="Calibri"/>
                <w:sz w:val="20"/>
              </w:rPr>
              <w:t>the views from across the river.</w:t>
            </w:r>
          </w:p>
        </w:tc>
      </w:tr>
    </w:tbl>
    <w:p w:rsidR="008E693A" w:rsidRDefault="00F6595A" w:rsidP="008E693A">
      <w:pPr>
        <w:spacing w:after="200" w:line="276" w:lineRule="auto"/>
        <w:jc w:val="center"/>
        <w:rPr>
          <w:rFonts w:ascii="Calibri" w:eastAsia="Calibri" w:hAnsi="Calibri" w:cs="Times New Roman"/>
          <w:sz w:val="20"/>
          <w:szCs w:val="22"/>
        </w:rPr>
      </w:pPr>
      <w:r>
        <w:rPr>
          <w:rFonts w:ascii="Calibri" w:eastAsia="Calibri" w:hAnsi="Calibri" w:cs="Times New Roman"/>
          <w:b/>
          <w:sz w:val="20"/>
          <w:szCs w:val="22"/>
        </w:rPr>
        <w:t xml:space="preserve">Figure </w:t>
      </w:r>
      <w:r w:rsidR="008B306D">
        <w:rPr>
          <w:rFonts w:ascii="Calibri" w:eastAsia="Calibri" w:hAnsi="Calibri" w:cs="Times New Roman"/>
          <w:b/>
          <w:sz w:val="20"/>
          <w:szCs w:val="22"/>
        </w:rPr>
        <w:t>24</w:t>
      </w:r>
      <w:r w:rsidR="008E693A">
        <w:rPr>
          <w:rFonts w:ascii="Calibri" w:eastAsia="Calibri" w:hAnsi="Calibri" w:cs="Times New Roman"/>
          <w:b/>
          <w:sz w:val="20"/>
          <w:szCs w:val="22"/>
        </w:rPr>
        <w:t>:</w:t>
      </w:r>
      <w:r w:rsidR="00C9439B">
        <w:rPr>
          <w:rFonts w:ascii="Calibri" w:eastAsia="Calibri" w:hAnsi="Calibri" w:cs="Times New Roman"/>
          <w:sz w:val="20"/>
          <w:szCs w:val="22"/>
        </w:rPr>
        <w:t xml:space="preserve"> </w:t>
      </w:r>
      <w:r w:rsidR="00C119B9">
        <w:rPr>
          <w:rFonts w:ascii="Calibri" w:eastAsia="Calibri" w:hAnsi="Calibri" w:cs="Times New Roman"/>
          <w:sz w:val="20"/>
          <w:szCs w:val="22"/>
        </w:rPr>
        <w:t>Planning permission</w:t>
      </w:r>
      <w:r w:rsidR="003F17F4">
        <w:rPr>
          <w:rFonts w:ascii="Calibri" w:eastAsia="Calibri" w:hAnsi="Calibri" w:cs="Times New Roman"/>
          <w:sz w:val="20"/>
          <w:szCs w:val="22"/>
        </w:rPr>
        <w:t>s</w:t>
      </w:r>
      <w:r w:rsidR="00C119B9">
        <w:rPr>
          <w:rFonts w:ascii="Calibri" w:eastAsia="Calibri" w:hAnsi="Calibri" w:cs="Times New Roman"/>
          <w:sz w:val="20"/>
          <w:szCs w:val="22"/>
        </w:rPr>
        <w:t xml:space="preserve"> granted for development</w:t>
      </w:r>
      <w:r w:rsidR="008E693A">
        <w:rPr>
          <w:rFonts w:ascii="Calibri" w:eastAsia="Calibri" w:hAnsi="Calibri" w:cs="Times New Roman"/>
          <w:sz w:val="20"/>
          <w:szCs w:val="22"/>
        </w:rPr>
        <w:t xml:space="preserve"> in</w:t>
      </w:r>
      <w:r w:rsidR="00800436">
        <w:rPr>
          <w:rFonts w:ascii="Calibri" w:eastAsia="Calibri" w:hAnsi="Calibri" w:cs="Times New Roman"/>
          <w:sz w:val="20"/>
          <w:szCs w:val="22"/>
        </w:rPr>
        <w:t xml:space="preserve"> </w:t>
      </w:r>
      <w:r w:rsidR="008E693A">
        <w:rPr>
          <w:rFonts w:ascii="Calibri" w:eastAsia="Calibri" w:hAnsi="Calibri" w:cs="Times New Roman"/>
          <w:sz w:val="20"/>
          <w:szCs w:val="22"/>
        </w:rPr>
        <w:t xml:space="preserve">the Green Belt </w:t>
      </w:r>
      <w:r w:rsidR="00800436">
        <w:rPr>
          <w:rFonts w:ascii="Calibri" w:eastAsia="Calibri" w:hAnsi="Calibri" w:cs="Times New Roman"/>
          <w:sz w:val="20"/>
          <w:szCs w:val="22"/>
        </w:rPr>
        <w:t xml:space="preserve">in </w:t>
      </w:r>
      <w:r w:rsidR="008E693A">
        <w:rPr>
          <w:rFonts w:ascii="Calibri" w:eastAsia="Calibri" w:hAnsi="Calibri" w:cs="Times New Roman"/>
          <w:sz w:val="20"/>
          <w:szCs w:val="22"/>
        </w:rPr>
        <w:t>2013/14</w:t>
      </w:r>
    </w:p>
    <w:p w:rsidR="00DB0858" w:rsidRPr="008E693A" w:rsidRDefault="00DB0858" w:rsidP="008E693A">
      <w:pPr>
        <w:spacing w:after="200" w:line="276" w:lineRule="auto"/>
        <w:jc w:val="center"/>
        <w:rPr>
          <w:rFonts w:ascii="Calibri" w:eastAsia="Calibri" w:hAnsi="Calibri" w:cs="Times New Roman"/>
          <w:sz w:val="20"/>
          <w:szCs w:val="22"/>
        </w:rPr>
      </w:pPr>
    </w:p>
    <w:p w:rsidR="003F17F4" w:rsidRPr="003F17F4" w:rsidRDefault="003F17F4" w:rsidP="003F17F4">
      <w:pPr>
        <w:spacing w:after="200" w:line="276" w:lineRule="auto"/>
        <w:ind w:left="360"/>
        <w:jc w:val="both"/>
        <w:rPr>
          <w:rFonts w:ascii="Calibri" w:eastAsia="Calibri" w:hAnsi="Calibri" w:cs="Times New Roman"/>
          <w:sz w:val="22"/>
          <w:szCs w:val="22"/>
        </w:rPr>
      </w:pPr>
    </w:p>
    <w:p w:rsidR="00D36778" w:rsidRDefault="00D36778" w:rsidP="00A31762">
      <w:pPr>
        <w:rPr>
          <w:color w:val="632423" w:themeColor="accent2" w:themeShade="80"/>
          <w:sz w:val="22"/>
          <w:szCs w:val="22"/>
        </w:rPr>
      </w:pPr>
    </w:p>
    <w:p w:rsidR="00D36778" w:rsidRPr="000B530E" w:rsidRDefault="008E693A" w:rsidP="00D36778">
      <w:pPr>
        <w:autoSpaceDE w:val="0"/>
        <w:autoSpaceDN w:val="0"/>
        <w:adjustRightInd w:val="0"/>
        <w:jc w:val="both"/>
        <w:rPr>
          <w:rFonts w:ascii="Calibri" w:eastAsia="Calibri" w:hAnsi="Calibri" w:cs="Calibri"/>
          <w:color w:val="3F4F21"/>
        </w:rPr>
      </w:pPr>
      <w:r w:rsidRPr="008E693A">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28224" behindDoc="0" locked="0" layoutInCell="1" allowOverlap="1" wp14:anchorId="0DFC3651" wp14:editId="1FBC683E">
                <wp:simplePos x="0" y="0"/>
                <wp:positionH relativeFrom="column">
                  <wp:posOffset>3404870</wp:posOffset>
                </wp:positionH>
                <wp:positionV relativeFrom="paragraph">
                  <wp:posOffset>-636905</wp:posOffset>
                </wp:positionV>
                <wp:extent cx="2427605" cy="352425"/>
                <wp:effectExtent l="0" t="0" r="0" b="9525"/>
                <wp:wrapNone/>
                <wp:docPr id="133" name="Text Box 13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8E693A">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3" o:spid="_x0000_s1074" type="#_x0000_t202" style="position:absolute;left:0;text-align:left;margin-left:268.1pt;margin-top:-50.15pt;width:191.15pt;height:27.7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" fillcolor="window" stroked="f" strokeweight=".5pt">
                <v:textbox>
                  <w:txbxContent>
                    <w:p w:rsidR="000D3CFF" w:rsidRPr="00483A60" w:rsidRDefault="000D3CFF" w:rsidP="008E693A">
                      <w:pPr>
                        <w:jc w:val="right"/>
                        <w:rPr>
                          <w:b/>
                          <w:color w:val="4F6228" w:themeColor="accent3" w:themeShade="80"/>
                        </w:rPr>
                      </w:pPr>
                      <w:r w:rsidRPr="00483A60">
                        <w:rPr>
                          <w:b/>
                          <w:color w:val="4F6228" w:themeColor="accent3" w:themeShade="80"/>
                        </w:rPr>
                        <w:t>Cleaner, Greener Oxford</w:t>
                      </w:r>
                    </w:p>
                  </w:txbxContent>
                </v:textbox>
              </v:shape>
            </w:pict>
          </mc:Fallback>
        </mc:AlternateContent>
      </w: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12512" behindDoc="1" locked="0" layoutInCell="1" allowOverlap="1" wp14:anchorId="19F7C973" wp14:editId="51F7F9B9">
                <wp:simplePos x="0" y="0"/>
                <wp:positionH relativeFrom="column">
                  <wp:posOffset>-57150</wp:posOffset>
                </wp:positionH>
                <wp:positionV relativeFrom="paragraph">
                  <wp:posOffset>-112395</wp:posOffset>
                </wp:positionV>
                <wp:extent cx="5828030" cy="2009775"/>
                <wp:effectExtent l="0" t="0" r="1270" b="9525"/>
                <wp:wrapNone/>
                <wp:docPr id="157" name="Rectangle 157"/>
                <wp:cNvGraphicFramePr/>
                <a:graphic xmlns:a="http://schemas.openxmlformats.org/drawingml/2006/main">
                  <a:graphicData uri="http://schemas.microsoft.com/office/word/2010/wordprocessingShape">
                    <wps:wsp>
                      <wps:cNvSpPr/>
                      <wps:spPr>
                        <a:xfrm>
                          <a:off x="0" y="0"/>
                          <a:ext cx="5828030" cy="200977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4.5pt;margin-top:-8.85pt;width:458.9pt;height:15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" fillcolor="#c2d69b [1942]" stroked="f" strokeweight="2pt"/>
            </w:pict>
          </mc:Fallback>
        </mc:AlternateContent>
      </w:r>
      <w:r w:rsidR="00D36778">
        <w:rPr>
          <w:rFonts w:ascii="Calibri" w:eastAsia="Calibri" w:hAnsi="Calibri" w:cs="Calibri"/>
          <w:b/>
          <w:color w:val="3F4F21"/>
        </w:rPr>
        <w:t>I</w:t>
      </w:r>
      <w:r w:rsidR="00D36778" w:rsidRPr="000B530E">
        <w:rPr>
          <w:rFonts w:ascii="Calibri" w:eastAsia="Calibri" w:hAnsi="Calibri" w:cs="Calibri"/>
          <w:b/>
          <w:color w:val="3F4F21"/>
        </w:rPr>
        <w:t>ndicator 2</w:t>
      </w:r>
      <w:r w:rsidR="00D36778">
        <w:rPr>
          <w:rFonts w:ascii="Calibri" w:eastAsia="Calibri" w:hAnsi="Calibri" w:cs="Calibri"/>
          <w:b/>
          <w:color w:val="3F4F21"/>
        </w:rPr>
        <w:t>6</w:t>
      </w:r>
      <w:r w:rsidR="00D36778" w:rsidRPr="000B530E">
        <w:rPr>
          <w:rFonts w:ascii="Calibri" w:eastAsia="Calibri" w:hAnsi="Calibri" w:cs="Calibri"/>
          <w:b/>
          <w:color w:val="3F4F21"/>
        </w:rPr>
        <w:t xml:space="preserve">: </w:t>
      </w:r>
      <w:r w:rsidR="00D36778">
        <w:rPr>
          <w:rFonts w:ascii="Calibri" w:eastAsia="Calibri" w:hAnsi="Calibri" w:cs="Calibri"/>
          <w:b/>
          <w:color w:val="3F4F21"/>
        </w:rPr>
        <w:t>WASTE AND RECYCLING</w:t>
      </w:r>
    </w:p>
    <w:p w:rsidR="00D36778" w:rsidRPr="000B530E" w:rsidRDefault="00D36778" w:rsidP="00D36778">
      <w:pPr>
        <w:autoSpaceDE w:val="0"/>
        <w:autoSpaceDN w:val="0"/>
        <w:adjustRightInd w:val="0"/>
        <w:jc w:val="both"/>
        <w:rPr>
          <w:rFonts w:ascii="Calibri" w:eastAsia="Calibri" w:hAnsi="Calibri" w:cs="Calibri"/>
          <w:b/>
          <w:color w:val="3F4F21"/>
          <w:sz w:val="10"/>
          <w:szCs w:val="22"/>
        </w:rPr>
      </w:pPr>
    </w:p>
    <w:p w:rsidR="00DA67D3" w:rsidRDefault="00D36778" w:rsidP="00D36778">
      <w:pPr>
        <w:autoSpaceDE w:val="0"/>
        <w:autoSpaceDN w:val="0"/>
        <w:adjustRightInd w:val="0"/>
        <w:jc w:val="both"/>
        <w:rPr>
          <w:rFonts w:ascii="Calibri" w:eastAsia="Calibri" w:hAnsi="Calibri" w:cs="Calibri"/>
          <w:b/>
          <w:color w:val="3F4F21"/>
          <w:sz w:val="22"/>
          <w:szCs w:val="22"/>
        </w:rPr>
      </w:pPr>
      <w:r w:rsidRPr="000B530E">
        <w:rPr>
          <w:rFonts w:ascii="Calibri" w:eastAsia="Calibri" w:hAnsi="Calibri" w:cs="Calibri"/>
          <w:b/>
          <w:color w:val="3F4F21"/>
          <w:sz w:val="22"/>
          <w:szCs w:val="22"/>
        </w:rPr>
        <w:t xml:space="preserve">Target: </w:t>
      </w:r>
      <w:r w:rsidRPr="00D36778">
        <w:rPr>
          <w:rFonts w:ascii="Calibri" w:eastAsia="Calibri" w:hAnsi="Calibri" w:cs="Calibri"/>
          <w:b/>
          <w:color w:val="3F4F21"/>
          <w:sz w:val="22"/>
          <w:szCs w:val="22"/>
        </w:rPr>
        <w:t>Reduction in resi</w:t>
      </w:r>
      <w:r w:rsidR="00B4691B">
        <w:rPr>
          <w:rFonts w:ascii="Calibri" w:eastAsia="Calibri" w:hAnsi="Calibri" w:cs="Calibri"/>
          <w:b/>
          <w:color w:val="3F4F21"/>
          <w:sz w:val="22"/>
          <w:szCs w:val="22"/>
        </w:rPr>
        <w:t xml:space="preserve">dential waste per household. </w:t>
      </w:r>
    </w:p>
    <w:p w:rsidR="00DA67D3" w:rsidRDefault="00B4691B" w:rsidP="00DA67D3">
      <w:pPr>
        <w:autoSpaceDE w:val="0"/>
        <w:autoSpaceDN w:val="0"/>
        <w:adjustRightInd w:val="0"/>
        <w:ind w:firstLine="720"/>
        <w:jc w:val="both"/>
        <w:rPr>
          <w:rFonts w:ascii="Calibri" w:eastAsia="Calibri" w:hAnsi="Calibri" w:cs="Calibri"/>
          <w:b/>
          <w:color w:val="3F4F21"/>
          <w:sz w:val="22"/>
          <w:szCs w:val="22"/>
        </w:rPr>
      </w:pPr>
      <w:r>
        <w:rPr>
          <w:rFonts w:ascii="Calibri" w:eastAsia="Calibri" w:hAnsi="Calibri" w:cs="Calibri"/>
          <w:b/>
          <w:color w:val="3F4F21"/>
          <w:sz w:val="22"/>
          <w:szCs w:val="22"/>
        </w:rPr>
        <w:t>Increase</w:t>
      </w:r>
      <w:r w:rsidR="00DA67D3">
        <w:rPr>
          <w:rFonts w:ascii="Calibri" w:eastAsia="Calibri" w:hAnsi="Calibri" w:cs="Calibri"/>
          <w:b/>
          <w:color w:val="3F4F21"/>
          <w:sz w:val="22"/>
          <w:szCs w:val="22"/>
        </w:rPr>
        <w:t xml:space="preserve"> the percentage of </w:t>
      </w:r>
      <w:r w:rsidR="00D36778" w:rsidRPr="00D36778">
        <w:rPr>
          <w:rFonts w:ascii="Calibri" w:eastAsia="Calibri" w:hAnsi="Calibri" w:cs="Calibri"/>
          <w:b/>
          <w:color w:val="3F4F21"/>
          <w:sz w:val="22"/>
          <w:szCs w:val="22"/>
        </w:rPr>
        <w:t xml:space="preserve">total household waste </w:t>
      </w:r>
      <w:r w:rsidR="00DA67D3">
        <w:rPr>
          <w:rFonts w:ascii="Calibri" w:eastAsia="Calibri" w:hAnsi="Calibri" w:cs="Calibri"/>
          <w:b/>
          <w:color w:val="3F4F21"/>
          <w:sz w:val="22"/>
          <w:szCs w:val="22"/>
        </w:rPr>
        <w:t>that is recycled</w:t>
      </w:r>
      <w:r w:rsidR="00D36778" w:rsidRPr="00D36778">
        <w:rPr>
          <w:rFonts w:ascii="Calibri" w:eastAsia="Calibri" w:hAnsi="Calibri" w:cs="Calibri"/>
          <w:b/>
          <w:color w:val="3F4F21"/>
          <w:sz w:val="22"/>
          <w:szCs w:val="22"/>
        </w:rPr>
        <w:t xml:space="preserve"> and co</w:t>
      </w:r>
      <w:r w:rsidR="00DA67D3">
        <w:rPr>
          <w:rFonts w:ascii="Calibri" w:eastAsia="Calibri" w:hAnsi="Calibri" w:cs="Calibri"/>
          <w:b/>
          <w:color w:val="3F4F21"/>
          <w:sz w:val="22"/>
          <w:szCs w:val="22"/>
        </w:rPr>
        <w:t>mposted.</w:t>
      </w:r>
      <w:r w:rsidR="00D36778" w:rsidRPr="00D36778">
        <w:rPr>
          <w:rFonts w:ascii="Calibri" w:eastAsia="Calibri" w:hAnsi="Calibri" w:cs="Calibri"/>
          <w:b/>
          <w:color w:val="3F4F21"/>
          <w:sz w:val="22"/>
          <w:szCs w:val="22"/>
        </w:rPr>
        <w:t xml:space="preserve">  </w:t>
      </w:r>
    </w:p>
    <w:p w:rsidR="00D36778" w:rsidRDefault="00EC00D8" w:rsidP="00D36778">
      <w:pPr>
        <w:autoSpaceDE w:val="0"/>
        <w:autoSpaceDN w:val="0"/>
        <w:adjustRightInd w:val="0"/>
        <w:jc w:val="both"/>
        <w:rPr>
          <w:rFonts w:ascii="Calibri" w:eastAsia="Calibri" w:hAnsi="Calibri" w:cs="Calibri"/>
          <w:color w:val="4F6228" w:themeColor="accent3" w:themeShade="80"/>
          <w:sz w:val="20"/>
          <w:szCs w:val="22"/>
        </w:rPr>
      </w:pPr>
      <w:r>
        <w:rPr>
          <w:rFonts w:ascii="Calibri" w:eastAsia="Calibri" w:hAnsi="Calibri" w:cs="Calibri"/>
          <w:color w:val="4F6228" w:themeColor="accent3" w:themeShade="80"/>
          <w:sz w:val="20"/>
          <w:szCs w:val="22"/>
        </w:rPr>
        <w:t xml:space="preserve">               </w:t>
      </w:r>
      <w:r w:rsidR="00A234AB">
        <w:rPr>
          <w:rFonts w:ascii="Calibri" w:eastAsia="Calibri" w:hAnsi="Calibri" w:cs="Calibri"/>
          <w:color w:val="4F6228" w:themeColor="accent3" w:themeShade="80"/>
          <w:sz w:val="20"/>
          <w:szCs w:val="22"/>
        </w:rPr>
        <w:t>(Oxford Core Strategy</w:t>
      </w:r>
      <w:r w:rsidRPr="00EC00D8">
        <w:rPr>
          <w:rFonts w:ascii="Calibri" w:eastAsia="Calibri" w:hAnsi="Calibri" w:cs="Calibri"/>
          <w:color w:val="4F6228" w:themeColor="accent3" w:themeShade="80"/>
          <w:sz w:val="20"/>
          <w:szCs w:val="22"/>
        </w:rPr>
        <w:t xml:space="preserve"> Policy CS</w:t>
      </w:r>
      <w:r>
        <w:rPr>
          <w:rFonts w:ascii="Calibri" w:eastAsia="Calibri" w:hAnsi="Calibri" w:cs="Calibri"/>
          <w:color w:val="4F6228" w:themeColor="accent3" w:themeShade="80"/>
          <w:sz w:val="20"/>
          <w:szCs w:val="22"/>
        </w:rPr>
        <w:t>10</w:t>
      </w:r>
      <w:r w:rsidRPr="00EC00D8">
        <w:rPr>
          <w:rFonts w:ascii="Calibri" w:eastAsia="Calibri" w:hAnsi="Calibri" w:cs="Calibri"/>
          <w:color w:val="4F6228" w:themeColor="accent3" w:themeShade="80"/>
          <w:sz w:val="20"/>
          <w:szCs w:val="22"/>
        </w:rPr>
        <w:t>)</w:t>
      </w:r>
    </w:p>
    <w:p w:rsidR="00EC00D8" w:rsidRPr="000B530E" w:rsidRDefault="00EC00D8" w:rsidP="00D36778">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D36778" w:rsidRPr="000B530E" w:rsidTr="00080674">
        <w:trPr>
          <w:trHeight w:val="218"/>
        </w:trPr>
        <w:tc>
          <w:tcPr>
            <w:tcW w:w="5420" w:type="dxa"/>
          </w:tcPr>
          <w:p w:rsidR="00D36778" w:rsidRPr="000B530E" w:rsidRDefault="00D36778"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D36778" w:rsidRPr="000B530E" w:rsidTr="00080674">
        <w:tc>
          <w:tcPr>
            <w:tcW w:w="5420" w:type="dxa"/>
            <w:vMerge w:val="restart"/>
          </w:tcPr>
          <w:p w:rsidR="00D36778" w:rsidRPr="000B530E" w:rsidRDefault="00D36778" w:rsidP="00080674">
            <w:pPr>
              <w:autoSpaceDE w:val="0"/>
              <w:autoSpaceDN w:val="0"/>
              <w:adjustRightInd w:val="0"/>
              <w:jc w:val="center"/>
              <w:rPr>
                <w:rFonts w:ascii="Calibri" w:eastAsia="Calibri" w:hAnsi="Calibri" w:cs="Calibri"/>
                <w:b/>
                <w:color w:val="3F4F21"/>
                <w:sz w:val="8"/>
                <w:szCs w:val="8"/>
              </w:rPr>
            </w:pPr>
          </w:p>
          <w:p w:rsidR="00D36778" w:rsidRPr="000B530E" w:rsidRDefault="00F53753"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313409D8" wp14:editId="346A82EE">
                  <wp:extent cx="1666875" cy="501917"/>
                  <wp:effectExtent l="0" t="0" r="0" b="0"/>
                  <wp:docPr id="68" name="Picture 6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Pr>
                <w:b/>
                <w:noProof/>
                <w:sz w:val="32"/>
                <w:szCs w:val="32"/>
                <w:lang w:eastAsia="en-GB"/>
              </w:rPr>
              <w:drawing>
                <wp:inline distT="0" distB="0" distL="0" distR="0" wp14:anchorId="752DA7AB" wp14:editId="738648B3">
                  <wp:extent cx="1085850" cy="338644"/>
                  <wp:effectExtent l="0" t="0" r="0" b="4445"/>
                  <wp:docPr id="156" name="Picture 156"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D36778" w:rsidRPr="000B530E" w:rsidRDefault="00D36778" w:rsidP="00080674">
            <w:pPr>
              <w:autoSpaceDE w:val="0"/>
              <w:autoSpaceDN w:val="0"/>
              <w:adjustRightInd w:val="0"/>
              <w:jc w:val="center"/>
              <w:rPr>
                <w:rFonts w:ascii="Calibri" w:eastAsia="Calibri" w:hAnsi="Calibri" w:cs="Calibri"/>
                <w:b/>
                <w:color w:val="3F4F21"/>
                <w:sz w:val="8"/>
                <w:szCs w:val="8"/>
              </w:rPr>
            </w:pPr>
          </w:p>
        </w:tc>
      </w:tr>
      <w:tr w:rsidR="00D36778" w:rsidRPr="000B530E" w:rsidTr="00080674">
        <w:tc>
          <w:tcPr>
            <w:tcW w:w="5420" w:type="dxa"/>
            <w:vMerge/>
          </w:tcPr>
          <w:p w:rsidR="00D36778" w:rsidRPr="000B530E" w:rsidRDefault="00D36778" w:rsidP="00080674">
            <w:pPr>
              <w:autoSpaceDE w:val="0"/>
              <w:autoSpaceDN w:val="0"/>
              <w:adjustRightInd w:val="0"/>
              <w:jc w:val="center"/>
              <w:rPr>
                <w:rFonts w:ascii="Calibri" w:eastAsia="Calibri" w:hAnsi="Calibri" w:cs="Calibri"/>
                <w:b/>
                <w:color w:val="3F4F21"/>
                <w:sz w:val="22"/>
                <w:szCs w:val="22"/>
              </w:rPr>
            </w:pP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019FE55B" wp14:editId="6E2E7DF1">
                  <wp:extent cx="1085850" cy="326964"/>
                  <wp:effectExtent l="0" t="0" r="0" b="0"/>
                  <wp:docPr id="155" name="Picture 15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4832AE" w:rsidRDefault="004832AE" w:rsidP="004832AE">
      <w:pPr>
        <w:spacing w:line="276" w:lineRule="auto"/>
        <w:jc w:val="both"/>
        <w:rPr>
          <w:rFonts w:ascii="Calibri" w:eastAsia="Calibri" w:hAnsi="Calibri" w:cs="Times New Roman"/>
          <w:b/>
          <w:color w:val="4F6228" w:themeColor="accent3" w:themeShade="80"/>
          <w:sz w:val="22"/>
          <w:szCs w:val="22"/>
        </w:rPr>
      </w:pPr>
    </w:p>
    <w:p w:rsidR="00411D93" w:rsidRPr="00497A88" w:rsidRDefault="00411D93" w:rsidP="00497A88">
      <w:pPr>
        <w:spacing w:after="200" w:line="276" w:lineRule="auto"/>
        <w:jc w:val="both"/>
        <w:rPr>
          <w:rFonts w:ascii="Calibri" w:eastAsia="Calibri" w:hAnsi="Calibri" w:cs="Times New Roman"/>
          <w:b/>
          <w:color w:val="4F6228" w:themeColor="accent3" w:themeShade="80"/>
          <w:sz w:val="22"/>
          <w:szCs w:val="22"/>
        </w:rPr>
      </w:pPr>
      <w:r>
        <w:rPr>
          <w:rFonts w:ascii="Calibri" w:eastAsia="Calibri" w:hAnsi="Calibri" w:cs="Calibri"/>
          <w:b/>
          <w:color w:val="3F4F21"/>
          <w:sz w:val="22"/>
          <w:szCs w:val="22"/>
        </w:rPr>
        <w:t>Waste</w:t>
      </w:r>
    </w:p>
    <w:p w:rsidR="00EF0867" w:rsidRDefault="00497A88" w:rsidP="004335B5">
      <w:pPr>
        <w:numPr>
          <w:ilvl w:val="0"/>
          <w:numId w:val="7"/>
        </w:numPr>
        <w:spacing w:after="200" w:line="276" w:lineRule="auto"/>
        <w:jc w:val="both"/>
        <w:rPr>
          <w:rFonts w:ascii="Calibri" w:eastAsia="Calibri" w:hAnsi="Calibri" w:cs="Times New Roman"/>
          <w:sz w:val="22"/>
          <w:szCs w:val="22"/>
        </w:rPr>
      </w:pPr>
      <w:r w:rsidRPr="00497A88">
        <w:rPr>
          <w:rFonts w:ascii="Calibri" w:eastAsia="Calibri" w:hAnsi="Calibri" w:cs="Times New Roman"/>
          <w:sz w:val="22"/>
          <w:szCs w:val="22"/>
        </w:rPr>
        <w:t xml:space="preserve">The baseline figure for residual household waste in the Core Strategy was 727kg </w:t>
      </w:r>
      <w:r w:rsidR="00396E78">
        <w:rPr>
          <w:rFonts w:ascii="Calibri" w:eastAsia="Calibri" w:hAnsi="Calibri" w:cs="Times New Roman"/>
          <w:sz w:val="22"/>
          <w:szCs w:val="22"/>
        </w:rPr>
        <w:t xml:space="preserve">per household </w:t>
      </w:r>
      <w:r w:rsidRPr="00497A88">
        <w:rPr>
          <w:rFonts w:ascii="Calibri" w:eastAsia="Calibri" w:hAnsi="Calibri" w:cs="Times New Roman"/>
          <w:sz w:val="22"/>
          <w:szCs w:val="22"/>
        </w:rPr>
        <w:t>(</w:t>
      </w:r>
      <w:r w:rsidR="00CE6A7A">
        <w:rPr>
          <w:rFonts w:ascii="Calibri" w:eastAsia="Calibri" w:hAnsi="Calibri" w:cs="Times New Roman"/>
          <w:sz w:val="22"/>
          <w:szCs w:val="22"/>
        </w:rPr>
        <w:t>20</w:t>
      </w:r>
      <w:r w:rsidRPr="00497A88">
        <w:rPr>
          <w:rFonts w:ascii="Calibri" w:eastAsia="Calibri" w:hAnsi="Calibri" w:cs="Times New Roman"/>
          <w:sz w:val="22"/>
          <w:szCs w:val="22"/>
        </w:rPr>
        <w:t xml:space="preserve">07/08) </w:t>
      </w:r>
      <w:r w:rsidR="00F320A9">
        <w:rPr>
          <w:rFonts w:ascii="Calibri" w:eastAsia="Calibri" w:hAnsi="Calibri" w:cs="Times New Roman"/>
          <w:sz w:val="22"/>
          <w:szCs w:val="22"/>
        </w:rPr>
        <w:t>with a</w:t>
      </w:r>
      <w:r w:rsidRPr="00497A88">
        <w:rPr>
          <w:rFonts w:ascii="Calibri" w:eastAsia="Calibri" w:hAnsi="Calibri" w:cs="Times New Roman"/>
          <w:sz w:val="22"/>
          <w:szCs w:val="22"/>
        </w:rPr>
        <w:t xml:space="preserve"> target of reduc</w:t>
      </w:r>
      <w:r w:rsidR="00F320A9">
        <w:rPr>
          <w:rFonts w:ascii="Calibri" w:eastAsia="Calibri" w:hAnsi="Calibri" w:cs="Times New Roman"/>
          <w:sz w:val="22"/>
          <w:szCs w:val="22"/>
        </w:rPr>
        <w:t xml:space="preserve">ing this to 715kg by 2010/11. </w:t>
      </w:r>
      <w:r w:rsidR="00411D93">
        <w:rPr>
          <w:rFonts w:ascii="Calibri" w:eastAsia="Calibri" w:hAnsi="Calibri" w:cs="Times New Roman"/>
          <w:sz w:val="22"/>
          <w:szCs w:val="22"/>
        </w:rPr>
        <w:t>P</w:t>
      </w:r>
      <w:r w:rsidR="00F320A9">
        <w:rPr>
          <w:rFonts w:ascii="Calibri" w:eastAsia="Calibri" w:hAnsi="Calibri" w:cs="Times New Roman"/>
          <w:sz w:val="22"/>
          <w:szCs w:val="22"/>
        </w:rPr>
        <w:t>erformance has</w:t>
      </w:r>
      <w:r w:rsidR="00B554A4">
        <w:rPr>
          <w:rFonts w:ascii="Calibri" w:eastAsia="Calibri" w:hAnsi="Calibri" w:cs="Times New Roman"/>
          <w:sz w:val="22"/>
          <w:szCs w:val="22"/>
        </w:rPr>
        <w:t xml:space="preserve"> well exc</w:t>
      </w:r>
      <w:r w:rsidR="005C37F1">
        <w:rPr>
          <w:rFonts w:ascii="Calibri" w:eastAsia="Calibri" w:hAnsi="Calibri" w:cs="Times New Roman"/>
          <w:sz w:val="22"/>
          <w:szCs w:val="22"/>
        </w:rPr>
        <w:t>eeded this target</w:t>
      </w:r>
      <w:r w:rsidR="004832AE">
        <w:rPr>
          <w:rFonts w:ascii="Calibri" w:eastAsia="Calibri" w:hAnsi="Calibri" w:cs="Times New Roman"/>
          <w:sz w:val="22"/>
          <w:szCs w:val="22"/>
        </w:rPr>
        <w:t xml:space="preserve">, </w:t>
      </w:r>
      <w:r w:rsidR="00411D93">
        <w:rPr>
          <w:rFonts w:ascii="Calibri" w:eastAsia="Calibri" w:hAnsi="Calibri" w:cs="Times New Roman"/>
          <w:sz w:val="22"/>
          <w:szCs w:val="22"/>
        </w:rPr>
        <w:t>as identified</w:t>
      </w:r>
      <w:r w:rsidR="004832AE">
        <w:rPr>
          <w:rFonts w:ascii="Calibri" w:eastAsia="Calibri" w:hAnsi="Calibri" w:cs="Times New Roman"/>
          <w:sz w:val="22"/>
          <w:szCs w:val="22"/>
        </w:rPr>
        <w:t xml:space="preserve"> in previous monitoring reports</w:t>
      </w:r>
      <w:r w:rsidR="00411D93">
        <w:rPr>
          <w:rFonts w:ascii="Calibri" w:eastAsia="Calibri" w:hAnsi="Calibri" w:cs="Times New Roman"/>
          <w:sz w:val="22"/>
          <w:szCs w:val="22"/>
        </w:rPr>
        <w:t xml:space="preserve">. </w:t>
      </w:r>
      <w:r w:rsidR="004832AE">
        <w:rPr>
          <w:rFonts w:ascii="Calibri" w:eastAsia="Calibri" w:hAnsi="Calibri" w:cs="Times New Roman"/>
          <w:sz w:val="22"/>
          <w:szCs w:val="22"/>
        </w:rPr>
        <w:t>As a result p</w:t>
      </w:r>
      <w:r w:rsidR="00924960">
        <w:rPr>
          <w:rFonts w:ascii="Calibri" w:eastAsia="Calibri" w:hAnsi="Calibri" w:cs="Times New Roman"/>
          <w:sz w:val="22"/>
          <w:szCs w:val="22"/>
        </w:rPr>
        <w:t>rogress i</w:t>
      </w:r>
      <w:r w:rsidR="00F320A9" w:rsidRPr="00497A88">
        <w:rPr>
          <w:rFonts w:ascii="Calibri" w:eastAsia="Calibri" w:hAnsi="Calibri" w:cs="Times New Roman"/>
          <w:sz w:val="22"/>
          <w:szCs w:val="22"/>
        </w:rPr>
        <w:t xml:space="preserve">s </w:t>
      </w:r>
      <w:r w:rsidR="00924960">
        <w:rPr>
          <w:rFonts w:ascii="Calibri" w:eastAsia="Calibri" w:hAnsi="Calibri" w:cs="Times New Roman"/>
          <w:sz w:val="22"/>
          <w:szCs w:val="22"/>
        </w:rPr>
        <w:t>now</w:t>
      </w:r>
      <w:r w:rsidR="00F320A9" w:rsidRPr="00497A88">
        <w:rPr>
          <w:rFonts w:ascii="Calibri" w:eastAsia="Calibri" w:hAnsi="Calibri" w:cs="Times New Roman"/>
          <w:sz w:val="22"/>
          <w:szCs w:val="22"/>
        </w:rPr>
        <w:t xml:space="preserve"> measured against Corporate Plan targets.</w:t>
      </w:r>
      <w:r w:rsidR="008B306D">
        <w:rPr>
          <w:rFonts w:ascii="Calibri" w:eastAsia="Calibri" w:hAnsi="Calibri" w:cs="Times New Roman"/>
          <w:sz w:val="22"/>
          <w:szCs w:val="22"/>
        </w:rPr>
        <w:t xml:space="preserve"> Figure 25</w:t>
      </w:r>
      <w:r w:rsidR="004832AE">
        <w:rPr>
          <w:rFonts w:ascii="Calibri" w:eastAsia="Calibri" w:hAnsi="Calibri" w:cs="Times New Roman"/>
          <w:sz w:val="22"/>
          <w:szCs w:val="22"/>
        </w:rPr>
        <w:t xml:space="preserve"> </w:t>
      </w:r>
      <w:proofErr w:type="gramStart"/>
      <w:r w:rsidR="004832AE">
        <w:rPr>
          <w:rFonts w:ascii="Calibri" w:eastAsia="Calibri" w:hAnsi="Calibri" w:cs="Times New Roman"/>
          <w:sz w:val="22"/>
          <w:szCs w:val="22"/>
        </w:rPr>
        <w:t>shows</w:t>
      </w:r>
      <w:proofErr w:type="gramEnd"/>
      <w:r w:rsidR="004832AE">
        <w:rPr>
          <w:rFonts w:ascii="Calibri" w:eastAsia="Calibri" w:hAnsi="Calibri" w:cs="Times New Roman"/>
          <w:sz w:val="22"/>
          <w:szCs w:val="22"/>
        </w:rPr>
        <w:t xml:space="preserve"> that the average residual waste per household in 2013/14 </w:t>
      </w:r>
      <w:r w:rsidR="00F872A6">
        <w:rPr>
          <w:rFonts w:ascii="Calibri" w:eastAsia="Calibri" w:hAnsi="Calibri" w:cs="Times New Roman"/>
          <w:sz w:val="22"/>
          <w:szCs w:val="22"/>
        </w:rPr>
        <w:t xml:space="preserve">exceeded </w:t>
      </w:r>
      <w:r w:rsidR="004832AE">
        <w:rPr>
          <w:rFonts w:ascii="Calibri" w:eastAsia="Calibri" w:hAnsi="Calibri" w:cs="Times New Roman"/>
          <w:sz w:val="22"/>
          <w:szCs w:val="22"/>
        </w:rPr>
        <w:t>the Corporate Plan target.</w:t>
      </w:r>
    </w:p>
    <w:tbl>
      <w:tblPr>
        <w:tblStyle w:val="MediumGrid1-Accent3"/>
        <w:tblW w:w="0" w:type="auto"/>
        <w:tblInd w:w="250" w:type="dxa"/>
        <w:tblLook w:val="04A0" w:firstRow="1" w:lastRow="0" w:firstColumn="1" w:lastColumn="0" w:noHBand="0" w:noVBand="1"/>
      </w:tblPr>
      <w:tblGrid>
        <w:gridCol w:w="3260"/>
        <w:gridCol w:w="1323"/>
        <w:gridCol w:w="1323"/>
        <w:gridCol w:w="1323"/>
        <w:gridCol w:w="1763"/>
      </w:tblGrid>
      <w:tr w:rsidR="00F53753" w:rsidRPr="005D6AEF" w:rsidTr="00B43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il"/>
              <w:left w:val="nil"/>
            </w:tcBorders>
            <w:shd w:val="clear" w:color="auto" w:fill="FFFFFF" w:themeFill="background1"/>
          </w:tcPr>
          <w:p w:rsidR="00F53753" w:rsidRPr="005D6AEF" w:rsidRDefault="00F53753" w:rsidP="00B67D74">
            <w:pPr>
              <w:rPr>
                <w:rFonts w:asciiTheme="minorHAnsi" w:hAnsiTheme="minorHAnsi" w:cstheme="minorHAnsi"/>
                <w:b w:val="0"/>
                <w:color w:val="262626" w:themeColor="text1" w:themeTint="D9"/>
                <w:sz w:val="20"/>
                <w:szCs w:val="22"/>
              </w:rPr>
            </w:pPr>
          </w:p>
        </w:tc>
        <w:tc>
          <w:tcPr>
            <w:tcW w:w="1323" w:type="dxa"/>
            <w:shd w:val="clear" w:color="auto" w:fill="D6E3BC" w:themeFill="accent3" w:themeFillTint="66"/>
          </w:tcPr>
          <w:p w:rsidR="00F53753" w:rsidRPr="00F53753" w:rsidRDefault="00F53753" w:rsidP="00F537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62626" w:themeColor="text1" w:themeTint="D9"/>
                <w:sz w:val="20"/>
                <w:szCs w:val="22"/>
              </w:rPr>
            </w:pPr>
            <w:r w:rsidRPr="00F53753">
              <w:rPr>
                <w:rFonts w:asciiTheme="minorHAnsi" w:hAnsiTheme="minorHAnsi" w:cstheme="minorHAnsi"/>
                <w:b w:val="0"/>
                <w:color w:val="262626" w:themeColor="text1" w:themeTint="D9"/>
                <w:sz w:val="20"/>
                <w:szCs w:val="22"/>
              </w:rPr>
              <w:t>2011/12</w:t>
            </w:r>
          </w:p>
        </w:tc>
        <w:tc>
          <w:tcPr>
            <w:tcW w:w="1323" w:type="dxa"/>
            <w:shd w:val="clear" w:color="auto" w:fill="D6E3BC" w:themeFill="accent3" w:themeFillTint="66"/>
          </w:tcPr>
          <w:p w:rsidR="00F53753" w:rsidRPr="00F53753" w:rsidRDefault="00F53753" w:rsidP="00F537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62626" w:themeColor="text1" w:themeTint="D9"/>
                <w:sz w:val="20"/>
                <w:szCs w:val="22"/>
              </w:rPr>
            </w:pPr>
            <w:r w:rsidRPr="00F53753">
              <w:rPr>
                <w:rFonts w:asciiTheme="minorHAnsi" w:hAnsiTheme="minorHAnsi" w:cstheme="minorHAnsi"/>
                <w:b w:val="0"/>
                <w:color w:val="262626" w:themeColor="text1" w:themeTint="D9"/>
                <w:sz w:val="20"/>
                <w:szCs w:val="22"/>
              </w:rPr>
              <w:t>2012/13</w:t>
            </w:r>
          </w:p>
        </w:tc>
        <w:tc>
          <w:tcPr>
            <w:tcW w:w="1323" w:type="dxa"/>
            <w:shd w:val="clear" w:color="auto" w:fill="D6E3BC" w:themeFill="accent3" w:themeFillTint="66"/>
          </w:tcPr>
          <w:p w:rsidR="00F53753" w:rsidRPr="00F53753" w:rsidRDefault="00F53753" w:rsidP="00F537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F53753">
              <w:rPr>
                <w:rFonts w:asciiTheme="minorHAnsi" w:hAnsiTheme="minorHAnsi" w:cstheme="minorHAnsi"/>
                <w:color w:val="262626" w:themeColor="text1" w:themeTint="D9"/>
                <w:sz w:val="20"/>
                <w:szCs w:val="22"/>
              </w:rPr>
              <w:t>2013/14</w:t>
            </w:r>
          </w:p>
        </w:tc>
        <w:tc>
          <w:tcPr>
            <w:tcW w:w="1763" w:type="dxa"/>
            <w:shd w:val="clear" w:color="auto" w:fill="D6E3BC" w:themeFill="accent3" w:themeFillTint="66"/>
          </w:tcPr>
          <w:p w:rsidR="00F53753" w:rsidRPr="00F53753" w:rsidRDefault="00F53753" w:rsidP="00F537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F53753">
              <w:rPr>
                <w:rFonts w:asciiTheme="minorHAnsi" w:hAnsiTheme="minorHAnsi" w:cstheme="minorHAnsi"/>
                <w:color w:val="262626" w:themeColor="text1" w:themeTint="D9"/>
                <w:sz w:val="20"/>
                <w:szCs w:val="22"/>
              </w:rPr>
              <w:t>Corporate Plan Target 2013/14</w:t>
            </w:r>
          </w:p>
        </w:tc>
      </w:tr>
      <w:tr w:rsidR="00F53753" w:rsidRPr="005D6AEF" w:rsidTr="00B43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shd w:val="clear" w:color="auto" w:fill="D6E3BC" w:themeFill="accent3" w:themeFillTint="66"/>
          </w:tcPr>
          <w:p w:rsidR="00F53753" w:rsidRPr="00F53753" w:rsidRDefault="00F53753" w:rsidP="00B67D74">
            <w:pPr>
              <w:jc w:val="both"/>
              <w:rPr>
                <w:rFonts w:asciiTheme="minorHAnsi" w:hAnsiTheme="minorHAnsi" w:cstheme="minorHAnsi"/>
                <w:color w:val="262626" w:themeColor="text1" w:themeTint="D9"/>
                <w:sz w:val="20"/>
                <w:szCs w:val="22"/>
              </w:rPr>
            </w:pPr>
            <w:r w:rsidRPr="00F53753">
              <w:rPr>
                <w:rFonts w:asciiTheme="minorHAnsi" w:hAnsiTheme="minorHAnsi" w:cstheme="minorHAnsi"/>
                <w:color w:val="262626" w:themeColor="text1" w:themeTint="D9"/>
                <w:sz w:val="20"/>
                <w:szCs w:val="22"/>
              </w:rPr>
              <w:t>Residual waste per household (kg)</w:t>
            </w:r>
          </w:p>
        </w:tc>
        <w:tc>
          <w:tcPr>
            <w:tcW w:w="1323" w:type="dxa"/>
            <w:shd w:val="clear" w:color="auto" w:fill="FFFFFF" w:themeFill="background1"/>
          </w:tcPr>
          <w:p w:rsidR="00F53753" w:rsidRPr="005D6AEF" w:rsidRDefault="00CB432A" w:rsidP="00B67D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 w:val="20"/>
                <w:szCs w:val="22"/>
              </w:rPr>
            </w:pPr>
            <w:r>
              <w:rPr>
                <w:rFonts w:asciiTheme="minorHAnsi" w:hAnsiTheme="minorHAnsi" w:cstheme="minorHAnsi"/>
                <w:color w:val="262626" w:themeColor="text1" w:themeTint="D9"/>
                <w:sz w:val="20"/>
                <w:szCs w:val="22"/>
              </w:rPr>
              <w:t>410</w:t>
            </w:r>
            <w:r w:rsidR="00F53753">
              <w:rPr>
                <w:rFonts w:asciiTheme="minorHAnsi" w:hAnsiTheme="minorHAnsi" w:cstheme="minorHAnsi"/>
                <w:color w:val="262626" w:themeColor="text1" w:themeTint="D9"/>
                <w:sz w:val="20"/>
                <w:szCs w:val="22"/>
              </w:rPr>
              <w:t>.9</w:t>
            </w:r>
            <w:r>
              <w:rPr>
                <w:rFonts w:asciiTheme="minorHAnsi" w:hAnsiTheme="minorHAnsi" w:cstheme="minorHAnsi"/>
                <w:color w:val="262626" w:themeColor="text1" w:themeTint="D9"/>
                <w:sz w:val="20"/>
                <w:szCs w:val="22"/>
              </w:rPr>
              <w:t>6</w:t>
            </w:r>
          </w:p>
        </w:tc>
        <w:tc>
          <w:tcPr>
            <w:tcW w:w="1323" w:type="dxa"/>
            <w:shd w:val="clear" w:color="auto" w:fill="FFFFFF" w:themeFill="background1"/>
          </w:tcPr>
          <w:p w:rsidR="00F53753" w:rsidRPr="005D6AEF" w:rsidRDefault="00F53753" w:rsidP="00B67D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 w:val="20"/>
                <w:szCs w:val="22"/>
              </w:rPr>
            </w:pPr>
            <w:r>
              <w:rPr>
                <w:rFonts w:asciiTheme="minorHAnsi" w:hAnsiTheme="minorHAnsi" w:cstheme="minorHAnsi"/>
                <w:color w:val="262626" w:themeColor="text1" w:themeTint="D9"/>
                <w:sz w:val="20"/>
                <w:szCs w:val="22"/>
              </w:rPr>
              <w:t>422.6</w:t>
            </w:r>
          </w:p>
        </w:tc>
        <w:tc>
          <w:tcPr>
            <w:tcW w:w="1323" w:type="dxa"/>
            <w:shd w:val="clear" w:color="auto" w:fill="FFFFFF" w:themeFill="background1"/>
          </w:tcPr>
          <w:p w:rsidR="00F53753" w:rsidRPr="00F53753" w:rsidRDefault="00F53753" w:rsidP="00B67D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62626" w:themeColor="text1" w:themeTint="D9"/>
                <w:sz w:val="20"/>
                <w:szCs w:val="22"/>
              </w:rPr>
            </w:pPr>
            <w:r>
              <w:rPr>
                <w:rFonts w:asciiTheme="minorHAnsi" w:hAnsiTheme="minorHAnsi" w:cstheme="minorHAnsi"/>
                <w:b/>
                <w:color w:val="262626" w:themeColor="text1" w:themeTint="D9"/>
                <w:sz w:val="20"/>
                <w:szCs w:val="22"/>
              </w:rPr>
              <w:t>422.18</w:t>
            </w:r>
          </w:p>
        </w:tc>
        <w:tc>
          <w:tcPr>
            <w:tcW w:w="1763" w:type="dxa"/>
            <w:shd w:val="clear" w:color="auto" w:fill="FFFFFF" w:themeFill="background1"/>
          </w:tcPr>
          <w:p w:rsidR="00F53753" w:rsidRPr="00F53753" w:rsidRDefault="00F53753" w:rsidP="00B67D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62626" w:themeColor="text1" w:themeTint="D9"/>
                <w:sz w:val="20"/>
                <w:szCs w:val="22"/>
              </w:rPr>
            </w:pPr>
            <w:r>
              <w:rPr>
                <w:rFonts w:asciiTheme="minorHAnsi" w:hAnsiTheme="minorHAnsi" w:cstheme="minorHAnsi"/>
                <w:b/>
                <w:color w:val="262626" w:themeColor="text1" w:themeTint="D9"/>
                <w:sz w:val="20"/>
                <w:szCs w:val="22"/>
              </w:rPr>
              <w:t>445</w:t>
            </w:r>
          </w:p>
        </w:tc>
      </w:tr>
    </w:tbl>
    <w:p w:rsidR="001C1F00" w:rsidRPr="008E693A" w:rsidRDefault="00F6595A" w:rsidP="008E693A">
      <w:pPr>
        <w:spacing w:after="200" w:line="276" w:lineRule="auto"/>
        <w:jc w:val="center"/>
        <w:rPr>
          <w:rFonts w:ascii="Calibri" w:eastAsia="Calibri" w:hAnsi="Calibri" w:cs="Times New Roman"/>
          <w:sz w:val="20"/>
          <w:szCs w:val="22"/>
        </w:rPr>
      </w:pPr>
      <w:r>
        <w:rPr>
          <w:rFonts w:ascii="Calibri" w:eastAsia="Calibri" w:hAnsi="Calibri" w:cs="Times New Roman"/>
          <w:b/>
          <w:sz w:val="20"/>
          <w:szCs w:val="22"/>
        </w:rPr>
        <w:t>Figure 2</w:t>
      </w:r>
      <w:r w:rsidR="008B306D">
        <w:rPr>
          <w:rFonts w:ascii="Calibri" w:eastAsia="Calibri" w:hAnsi="Calibri" w:cs="Times New Roman"/>
          <w:b/>
          <w:sz w:val="20"/>
          <w:szCs w:val="22"/>
        </w:rPr>
        <w:t>5</w:t>
      </w:r>
      <w:r w:rsidR="008E693A">
        <w:rPr>
          <w:rFonts w:ascii="Calibri" w:eastAsia="Calibri" w:hAnsi="Calibri" w:cs="Times New Roman"/>
          <w:b/>
          <w:sz w:val="20"/>
          <w:szCs w:val="22"/>
        </w:rPr>
        <w:t>:</w:t>
      </w:r>
      <w:r w:rsidR="008E693A">
        <w:rPr>
          <w:rFonts w:ascii="Calibri" w:eastAsia="Calibri" w:hAnsi="Calibri" w:cs="Times New Roman"/>
          <w:sz w:val="20"/>
          <w:szCs w:val="22"/>
        </w:rPr>
        <w:t xml:space="preserve"> Residual waste per household in Oxford</w:t>
      </w:r>
    </w:p>
    <w:p w:rsidR="00411D93" w:rsidRPr="00EF0867" w:rsidRDefault="00411D93" w:rsidP="00411D93">
      <w:pPr>
        <w:spacing w:after="200" w:line="276" w:lineRule="auto"/>
        <w:jc w:val="both"/>
        <w:rPr>
          <w:rFonts w:ascii="Calibri" w:eastAsia="Calibri" w:hAnsi="Calibri" w:cs="Times New Roman"/>
          <w:sz w:val="22"/>
          <w:szCs w:val="22"/>
        </w:rPr>
      </w:pPr>
      <w:r>
        <w:rPr>
          <w:rFonts w:ascii="Calibri" w:eastAsia="Calibri" w:hAnsi="Calibri" w:cs="Calibri"/>
          <w:b/>
          <w:color w:val="3F4F21"/>
          <w:sz w:val="22"/>
          <w:szCs w:val="22"/>
        </w:rPr>
        <w:t>Recycling</w:t>
      </w:r>
    </w:p>
    <w:p w:rsidR="004832AE" w:rsidRDefault="00F320A9"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T</w:t>
      </w:r>
      <w:r w:rsidR="00497A88" w:rsidRPr="00497A88">
        <w:rPr>
          <w:rFonts w:ascii="Calibri" w:eastAsia="Calibri" w:hAnsi="Calibri" w:cs="Times New Roman"/>
          <w:sz w:val="22"/>
          <w:szCs w:val="22"/>
        </w:rPr>
        <w:t xml:space="preserve">he </w:t>
      </w:r>
      <w:r w:rsidR="00924960">
        <w:rPr>
          <w:rFonts w:ascii="Calibri" w:eastAsia="Calibri" w:hAnsi="Calibri" w:cs="Times New Roman"/>
          <w:sz w:val="22"/>
          <w:szCs w:val="22"/>
        </w:rPr>
        <w:t>baseline figure</w:t>
      </w:r>
      <w:r w:rsidR="00F53753">
        <w:rPr>
          <w:rFonts w:ascii="Calibri" w:eastAsia="Calibri" w:hAnsi="Calibri" w:cs="Times New Roman"/>
          <w:sz w:val="22"/>
          <w:szCs w:val="22"/>
        </w:rPr>
        <w:t xml:space="preserve"> given in the Core Strategy</w:t>
      </w:r>
      <w:r w:rsidR="00924960">
        <w:rPr>
          <w:rFonts w:ascii="Calibri" w:eastAsia="Calibri" w:hAnsi="Calibri" w:cs="Times New Roman"/>
          <w:sz w:val="22"/>
          <w:szCs w:val="22"/>
        </w:rPr>
        <w:t xml:space="preserve"> for the </w:t>
      </w:r>
      <w:r w:rsidR="004832AE">
        <w:rPr>
          <w:rFonts w:ascii="Calibri" w:eastAsia="Calibri" w:hAnsi="Calibri" w:cs="Times New Roman"/>
          <w:sz w:val="22"/>
          <w:szCs w:val="22"/>
        </w:rPr>
        <w:t>proportion</w:t>
      </w:r>
      <w:r w:rsidR="00924960">
        <w:rPr>
          <w:rFonts w:ascii="Calibri" w:eastAsia="Calibri" w:hAnsi="Calibri" w:cs="Times New Roman"/>
          <w:sz w:val="22"/>
          <w:szCs w:val="22"/>
        </w:rPr>
        <w:t xml:space="preserve"> of </w:t>
      </w:r>
      <w:r w:rsidR="00EF0867">
        <w:rPr>
          <w:rFonts w:ascii="Calibri" w:eastAsia="Calibri" w:hAnsi="Calibri" w:cs="Times New Roman"/>
          <w:sz w:val="22"/>
          <w:szCs w:val="22"/>
        </w:rPr>
        <w:t>total household waste</w:t>
      </w:r>
      <w:r w:rsidR="00F53753">
        <w:rPr>
          <w:rFonts w:ascii="Calibri" w:eastAsia="Calibri" w:hAnsi="Calibri" w:cs="Times New Roman"/>
          <w:sz w:val="22"/>
          <w:szCs w:val="22"/>
        </w:rPr>
        <w:t xml:space="preserve"> recycled or composted was 19% (2005/06)</w:t>
      </w:r>
      <w:r w:rsidR="00EF0867">
        <w:rPr>
          <w:rFonts w:ascii="Calibri" w:eastAsia="Calibri" w:hAnsi="Calibri" w:cs="Times New Roman"/>
          <w:sz w:val="22"/>
          <w:szCs w:val="22"/>
        </w:rPr>
        <w:t>, with a target of increasing this to at least 45% by 31</w:t>
      </w:r>
      <w:r w:rsidR="00EF0867">
        <w:rPr>
          <w:rFonts w:ascii="Calibri" w:eastAsia="Calibri" w:hAnsi="Calibri" w:cs="Times New Roman"/>
          <w:sz w:val="22"/>
          <w:szCs w:val="22"/>
          <w:vertAlign w:val="superscript"/>
        </w:rPr>
        <w:t xml:space="preserve">st </w:t>
      </w:r>
      <w:r w:rsidR="005C37F1">
        <w:rPr>
          <w:rFonts w:ascii="Calibri" w:eastAsia="Calibri" w:hAnsi="Calibri" w:cs="Times New Roman"/>
          <w:sz w:val="22"/>
          <w:szCs w:val="22"/>
        </w:rPr>
        <w:t>March 2015 and at least 55% by 31</w:t>
      </w:r>
      <w:r w:rsidR="005C37F1" w:rsidRPr="005C37F1">
        <w:rPr>
          <w:rFonts w:ascii="Calibri" w:eastAsia="Calibri" w:hAnsi="Calibri" w:cs="Times New Roman"/>
          <w:sz w:val="22"/>
          <w:szCs w:val="22"/>
          <w:vertAlign w:val="superscript"/>
        </w:rPr>
        <w:t>st</w:t>
      </w:r>
      <w:r w:rsidR="005C37F1">
        <w:rPr>
          <w:rFonts w:ascii="Calibri" w:eastAsia="Calibri" w:hAnsi="Calibri" w:cs="Times New Roman"/>
          <w:sz w:val="22"/>
          <w:szCs w:val="22"/>
        </w:rPr>
        <w:t xml:space="preserve"> March 2020.</w:t>
      </w:r>
      <w:r w:rsidR="00F53753">
        <w:rPr>
          <w:rFonts w:ascii="Calibri" w:eastAsia="Calibri" w:hAnsi="Calibri" w:cs="Times New Roman"/>
          <w:sz w:val="22"/>
          <w:szCs w:val="22"/>
        </w:rPr>
        <w:t xml:space="preserve"> In the monitoring year 2013/14, 44.88% of household waste was recycled</w:t>
      </w:r>
      <w:r w:rsidR="00934504">
        <w:rPr>
          <w:rFonts w:ascii="Calibri" w:eastAsia="Calibri" w:hAnsi="Calibri" w:cs="Times New Roman"/>
          <w:sz w:val="22"/>
          <w:szCs w:val="22"/>
        </w:rPr>
        <w:t xml:space="preserve"> or composted,</w:t>
      </w:r>
      <w:r w:rsidR="00F53753">
        <w:rPr>
          <w:rFonts w:ascii="Calibri" w:eastAsia="Calibri" w:hAnsi="Calibri" w:cs="Times New Roman"/>
          <w:sz w:val="22"/>
          <w:szCs w:val="22"/>
        </w:rPr>
        <w:t xml:space="preserve"> indicating </w:t>
      </w:r>
      <w:r w:rsidR="006C638B">
        <w:rPr>
          <w:rFonts w:ascii="Calibri" w:eastAsia="Calibri" w:hAnsi="Calibri" w:cs="Times New Roman"/>
          <w:sz w:val="22"/>
          <w:szCs w:val="22"/>
        </w:rPr>
        <w:t>good progress towards meeting the Core Strategy target in March 2015.</w:t>
      </w:r>
      <w:r w:rsidR="00F53753">
        <w:rPr>
          <w:rFonts w:ascii="Calibri" w:eastAsia="Calibri" w:hAnsi="Calibri" w:cs="Times New Roman"/>
          <w:sz w:val="22"/>
          <w:szCs w:val="22"/>
        </w:rPr>
        <w:t xml:space="preserve"> </w:t>
      </w:r>
    </w:p>
    <w:p w:rsidR="004832AE" w:rsidRPr="004832AE" w:rsidRDefault="004832AE" w:rsidP="004832AE">
      <w:pPr>
        <w:spacing w:line="276" w:lineRule="auto"/>
        <w:jc w:val="both"/>
        <w:rPr>
          <w:rFonts w:ascii="Calibri" w:eastAsia="Calibri" w:hAnsi="Calibri" w:cs="Times New Roman"/>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14560" behindDoc="1" locked="0" layoutInCell="1" allowOverlap="1" wp14:anchorId="08A27500" wp14:editId="5B6F35F9">
                <wp:simplePos x="0" y="0"/>
                <wp:positionH relativeFrom="column">
                  <wp:posOffset>-118110</wp:posOffset>
                </wp:positionH>
                <wp:positionV relativeFrom="paragraph">
                  <wp:posOffset>163195</wp:posOffset>
                </wp:positionV>
                <wp:extent cx="5886450" cy="1790700"/>
                <wp:effectExtent l="0" t="0" r="0" b="0"/>
                <wp:wrapNone/>
                <wp:docPr id="161" name="Rectangle 161"/>
                <wp:cNvGraphicFramePr/>
                <a:graphic xmlns:a="http://schemas.openxmlformats.org/drawingml/2006/main">
                  <a:graphicData uri="http://schemas.microsoft.com/office/word/2010/wordprocessingShape">
                    <wps:wsp>
                      <wps:cNvSpPr/>
                      <wps:spPr>
                        <a:xfrm>
                          <a:off x="0" y="0"/>
                          <a:ext cx="5886450" cy="1790700"/>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o:spid="_x0000_s1026" style="position:absolute;margin-left:-9.3pt;margin-top:12.85pt;width:463.5pt;height:14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" fillcolor="#c2d69b [1942]" stroked="f" strokeweight="2pt"/>
            </w:pict>
          </mc:Fallback>
        </mc:AlternateContent>
      </w:r>
    </w:p>
    <w:p w:rsidR="00D36778" w:rsidRPr="000B530E" w:rsidRDefault="00D36778" w:rsidP="00D36778">
      <w:pPr>
        <w:autoSpaceDE w:val="0"/>
        <w:autoSpaceDN w:val="0"/>
        <w:adjustRightInd w:val="0"/>
        <w:jc w:val="both"/>
        <w:rPr>
          <w:rFonts w:ascii="Calibri" w:eastAsia="Calibri" w:hAnsi="Calibri" w:cs="Calibri"/>
          <w:color w:val="3F4F21"/>
        </w:rPr>
      </w:pPr>
      <w:r>
        <w:rPr>
          <w:rFonts w:ascii="Calibri" w:eastAsia="Calibri" w:hAnsi="Calibri" w:cs="Calibri"/>
          <w:b/>
          <w:color w:val="3F4F21"/>
        </w:rPr>
        <w:t>I</w:t>
      </w:r>
      <w:r w:rsidRPr="000B530E">
        <w:rPr>
          <w:rFonts w:ascii="Calibri" w:eastAsia="Calibri" w:hAnsi="Calibri" w:cs="Calibri"/>
          <w:b/>
          <w:color w:val="3F4F21"/>
        </w:rPr>
        <w:t>ndicator 2</w:t>
      </w:r>
      <w:r>
        <w:rPr>
          <w:rFonts w:ascii="Calibri" w:eastAsia="Calibri" w:hAnsi="Calibri" w:cs="Calibri"/>
          <w:b/>
          <w:color w:val="3F4F21"/>
        </w:rPr>
        <w:t>7</w:t>
      </w:r>
      <w:r w:rsidRPr="000B530E">
        <w:rPr>
          <w:rFonts w:ascii="Calibri" w:eastAsia="Calibri" w:hAnsi="Calibri" w:cs="Calibri"/>
          <w:b/>
          <w:color w:val="3F4F21"/>
        </w:rPr>
        <w:t xml:space="preserve">: </w:t>
      </w:r>
      <w:r>
        <w:rPr>
          <w:rFonts w:ascii="Calibri" w:eastAsia="Calibri" w:hAnsi="Calibri" w:cs="Calibri"/>
          <w:b/>
          <w:color w:val="3F4F21"/>
        </w:rPr>
        <w:t>HERITAGE ASSETS AT RISK</w:t>
      </w:r>
    </w:p>
    <w:p w:rsidR="00D36778" w:rsidRPr="000B530E" w:rsidRDefault="00D36778" w:rsidP="00D36778">
      <w:pPr>
        <w:autoSpaceDE w:val="0"/>
        <w:autoSpaceDN w:val="0"/>
        <w:adjustRightInd w:val="0"/>
        <w:jc w:val="both"/>
        <w:rPr>
          <w:rFonts w:ascii="Calibri" w:eastAsia="Calibri" w:hAnsi="Calibri" w:cs="Calibri"/>
          <w:b/>
          <w:color w:val="3F4F21"/>
          <w:sz w:val="10"/>
          <w:szCs w:val="22"/>
        </w:rPr>
      </w:pPr>
    </w:p>
    <w:p w:rsidR="001C1F00" w:rsidRDefault="00D36778" w:rsidP="00D36778">
      <w:pPr>
        <w:autoSpaceDE w:val="0"/>
        <w:autoSpaceDN w:val="0"/>
        <w:adjustRightInd w:val="0"/>
        <w:jc w:val="both"/>
        <w:rPr>
          <w:rFonts w:ascii="Calibri" w:eastAsia="Calibri" w:hAnsi="Calibri" w:cs="Calibri"/>
          <w:b/>
          <w:color w:val="3F4F21"/>
          <w:sz w:val="22"/>
          <w:szCs w:val="22"/>
        </w:rPr>
      </w:pPr>
      <w:r w:rsidRPr="000B530E">
        <w:rPr>
          <w:rFonts w:ascii="Calibri" w:eastAsia="Calibri" w:hAnsi="Calibri" w:cs="Calibri"/>
          <w:b/>
          <w:color w:val="3F4F21"/>
          <w:sz w:val="22"/>
          <w:szCs w:val="22"/>
        </w:rPr>
        <w:t xml:space="preserve">Target: </w:t>
      </w:r>
      <w:r w:rsidRPr="00D36778">
        <w:rPr>
          <w:rFonts w:ascii="Calibri" w:eastAsia="Calibri" w:hAnsi="Calibri" w:cs="Calibri"/>
          <w:b/>
          <w:color w:val="3F4F21"/>
          <w:sz w:val="22"/>
          <w:szCs w:val="22"/>
        </w:rPr>
        <w:t xml:space="preserve">A decrease in Heritage Assets at risk or no net increase in Heritage Assets at risk </w:t>
      </w:r>
    </w:p>
    <w:p w:rsidR="00D36778" w:rsidRDefault="00EC00D8" w:rsidP="00D36778">
      <w:pPr>
        <w:autoSpaceDE w:val="0"/>
        <w:autoSpaceDN w:val="0"/>
        <w:adjustRightInd w:val="0"/>
        <w:jc w:val="both"/>
        <w:rPr>
          <w:rFonts w:ascii="Calibri" w:eastAsia="Calibri" w:hAnsi="Calibri" w:cs="Calibri"/>
          <w:color w:val="4F6228" w:themeColor="accent3" w:themeShade="80"/>
          <w:sz w:val="20"/>
          <w:szCs w:val="22"/>
        </w:rPr>
      </w:pPr>
      <w:r w:rsidRPr="00EC00D8">
        <w:rPr>
          <w:rFonts w:ascii="Calibri" w:eastAsia="Calibri" w:hAnsi="Calibri" w:cs="Calibri"/>
          <w:color w:val="4F6228" w:themeColor="accent3" w:themeShade="80"/>
          <w:sz w:val="20"/>
          <w:szCs w:val="22"/>
        </w:rPr>
        <w:t>(</w:t>
      </w:r>
      <w:r w:rsidR="00A234AB">
        <w:rPr>
          <w:rFonts w:ascii="Calibri" w:eastAsia="Calibri" w:hAnsi="Calibri" w:cs="Calibri"/>
          <w:color w:val="4F6228" w:themeColor="accent3" w:themeShade="80"/>
          <w:sz w:val="20"/>
          <w:szCs w:val="22"/>
        </w:rPr>
        <w:t>Oxford Core Strategy</w:t>
      </w:r>
      <w:r w:rsidRPr="00EC00D8">
        <w:rPr>
          <w:rFonts w:ascii="Calibri" w:eastAsia="Calibri" w:hAnsi="Calibri" w:cs="Calibri"/>
          <w:color w:val="4F6228" w:themeColor="accent3" w:themeShade="80"/>
          <w:sz w:val="20"/>
          <w:szCs w:val="22"/>
        </w:rPr>
        <w:t xml:space="preserve"> Policy CS</w:t>
      </w:r>
      <w:r>
        <w:rPr>
          <w:rFonts w:ascii="Calibri" w:eastAsia="Calibri" w:hAnsi="Calibri" w:cs="Calibri"/>
          <w:color w:val="4F6228" w:themeColor="accent3" w:themeShade="80"/>
          <w:sz w:val="20"/>
          <w:szCs w:val="22"/>
        </w:rPr>
        <w:t>18</w:t>
      </w:r>
      <w:r w:rsidRPr="00EC00D8">
        <w:rPr>
          <w:rFonts w:ascii="Calibri" w:eastAsia="Calibri" w:hAnsi="Calibri" w:cs="Calibri"/>
          <w:color w:val="4F6228" w:themeColor="accent3" w:themeShade="80"/>
          <w:sz w:val="20"/>
          <w:szCs w:val="22"/>
        </w:rPr>
        <w:t>)</w:t>
      </w:r>
    </w:p>
    <w:p w:rsidR="00EC00D8" w:rsidRPr="000B530E" w:rsidRDefault="00EC00D8" w:rsidP="00D36778">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D36778" w:rsidRPr="000B530E" w:rsidTr="00080674">
        <w:trPr>
          <w:trHeight w:val="218"/>
        </w:trPr>
        <w:tc>
          <w:tcPr>
            <w:tcW w:w="5420" w:type="dxa"/>
          </w:tcPr>
          <w:p w:rsidR="00D36778" w:rsidRPr="000B530E" w:rsidRDefault="00D36778"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D36778" w:rsidRPr="000B530E" w:rsidTr="00080674">
        <w:tc>
          <w:tcPr>
            <w:tcW w:w="5420" w:type="dxa"/>
            <w:vMerge w:val="restart"/>
          </w:tcPr>
          <w:p w:rsidR="00D36778" w:rsidRPr="000B530E" w:rsidRDefault="00D36778" w:rsidP="00080674">
            <w:pPr>
              <w:autoSpaceDE w:val="0"/>
              <w:autoSpaceDN w:val="0"/>
              <w:adjustRightInd w:val="0"/>
              <w:jc w:val="center"/>
              <w:rPr>
                <w:rFonts w:ascii="Calibri" w:eastAsia="Calibri" w:hAnsi="Calibri" w:cs="Calibri"/>
                <w:b/>
                <w:color w:val="3F4F21"/>
                <w:sz w:val="8"/>
                <w:szCs w:val="8"/>
              </w:rPr>
            </w:pPr>
          </w:p>
          <w:p w:rsidR="00D36778" w:rsidRPr="000B530E" w:rsidRDefault="003B611F"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54767B68" wp14:editId="60691879">
                  <wp:extent cx="1666875" cy="501917"/>
                  <wp:effectExtent l="0" t="0" r="0" b="0"/>
                  <wp:docPr id="123" name="Picture 12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3ADCD60A" wp14:editId="450C0FAE">
                  <wp:extent cx="1085850" cy="326964"/>
                  <wp:effectExtent l="0" t="0" r="0" b="0"/>
                  <wp:docPr id="160" name="Picture 16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D36778" w:rsidRPr="000B530E" w:rsidRDefault="00D36778" w:rsidP="00080674">
            <w:pPr>
              <w:autoSpaceDE w:val="0"/>
              <w:autoSpaceDN w:val="0"/>
              <w:adjustRightInd w:val="0"/>
              <w:jc w:val="center"/>
              <w:rPr>
                <w:rFonts w:ascii="Calibri" w:eastAsia="Calibri" w:hAnsi="Calibri" w:cs="Calibri"/>
                <w:b/>
                <w:color w:val="3F4F21"/>
                <w:sz w:val="8"/>
                <w:szCs w:val="8"/>
              </w:rPr>
            </w:pPr>
          </w:p>
        </w:tc>
      </w:tr>
      <w:tr w:rsidR="00D36778" w:rsidRPr="000B530E" w:rsidTr="00080674">
        <w:tc>
          <w:tcPr>
            <w:tcW w:w="5420" w:type="dxa"/>
            <w:vMerge/>
          </w:tcPr>
          <w:p w:rsidR="00D36778" w:rsidRPr="000B530E" w:rsidRDefault="00D36778" w:rsidP="00080674">
            <w:pPr>
              <w:autoSpaceDE w:val="0"/>
              <w:autoSpaceDN w:val="0"/>
              <w:adjustRightInd w:val="0"/>
              <w:jc w:val="center"/>
              <w:rPr>
                <w:rFonts w:ascii="Calibri" w:eastAsia="Calibri" w:hAnsi="Calibri" w:cs="Calibri"/>
                <w:b/>
                <w:color w:val="3F4F21"/>
                <w:sz w:val="22"/>
                <w:szCs w:val="22"/>
              </w:rPr>
            </w:pP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7AC25C13" wp14:editId="0D534B41">
                  <wp:extent cx="1085850" cy="326964"/>
                  <wp:effectExtent l="0" t="0" r="0" b="0"/>
                  <wp:docPr id="159" name="Picture 15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D36778" w:rsidRDefault="00D36778" w:rsidP="00A31762">
      <w:pPr>
        <w:rPr>
          <w:color w:val="632423" w:themeColor="accent2" w:themeShade="80"/>
          <w:sz w:val="22"/>
          <w:szCs w:val="22"/>
        </w:rPr>
      </w:pPr>
    </w:p>
    <w:p w:rsidR="00D36778" w:rsidRDefault="00D36778" w:rsidP="00A31762">
      <w:pPr>
        <w:rPr>
          <w:color w:val="632423" w:themeColor="accent2" w:themeShade="80"/>
          <w:sz w:val="22"/>
          <w:szCs w:val="22"/>
        </w:rPr>
      </w:pPr>
    </w:p>
    <w:p w:rsidR="00D80770" w:rsidRPr="00213AA7" w:rsidRDefault="001C1F00"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English Heritage’s ‘</w:t>
      </w:r>
      <w:r w:rsidRPr="001C1F00">
        <w:rPr>
          <w:rFonts w:asciiTheme="minorHAnsi" w:hAnsiTheme="minorHAnsi" w:cstheme="minorHAnsi"/>
          <w:sz w:val="22"/>
          <w:szCs w:val="18"/>
          <w:lang w:val="en"/>
        </w:rPr>
        <w:t xml:space="preserve">Heritage at Risk </w:t>
      </w:r>
      <w:proofErr w:type="spellStart"/>
      <w:r w:rsidRPr="001C1F00">
        <w:rPr>
          <w:rFonts w:asciiTheme="minorHAnsi" w:hAnsiTheme="minorHAnsi" w:cstheme="minorHAnsi"/>
          <w:sz w:val="22"/>
          <w:szCs w:val="18"/>
          <w:lang w:val="en"/>
        </w:rPr>
        <w:t>Programme</w:t>
      </w:r>
      <w:proofErr w:type="spellEnd"/>
      <w:r>
        <w:rPr>
          <w:rFonts w:asciiTheme="minorHAnsi" w:hAnsiTheme="minorHAnsi" w:cstheme="minorHAnsi"/>
          <w:sz w:val="22"/>
          <w:szCs w:val="18"/>
          <w:lang w:val="en"/>
        </w:rPr>
        <w:t>’</w:t>
      </w:r>
      <w:r w:rsidR="00D80770">
        <w:rPr>
          <w:rFonts w:asciiTheme="minorHAnsi" w:hAnsiTheme="minorHAnsi" w:cstheme="minorHAnsi"/>
          <w:sz w:val="22"/>
          <w:szCs w:val="18"/>
          <w:lang w:val="en"/>
        </w:rPr>
        <w:t xml:space="preserve"> was launched in 2008</w:t>
      </w:r>
      <w:r w:rsidRPr="001C1F00">
        <w:rPr>
          <w:rFonts w:asciiTheme="minorHAnsi" w:hAnsiTheme="minorHAnsi" w:cstheme="minorHAnsi"/>
          <w:sz w:val="22"/>
          <w:szCs w:val="18"/>
          <w:lang w:val="en"/>
        </w:rPr>
        <w:t xml:space="preserve"> as a way of understanding the overall state of England's historic sites. In particular, the </w:t>
      </w:r>
      <w:proofErr w:type="spellStart"/>
      <w:r w:rsidRPr="001C1F00">
        <w:rPr>
          <w:rFonts w:asciiTheme="minorHAnsi" w:hAnsiTheme="minorHAnsi" w:cstheme="minorHAnsi"/>
          <w:sz w:val="22"/>
          <w:szCs w:val="18"/>
          <w:lang w:val="en"/>
        </w:rPr>
        <w:t>programme</w:t>
      </w:r>
      <w:proofErr w:type="spellEnd"/>
      <w:r w:rsidRPr="001C1F00">
        <w:rPr>
          <w:rFonts w:asciiTheme="minorHAnsi" w:hAnsiTheme="minorHAnsi" w:cstheme="minorHAnsi"/>
          <w:sz w:val="22"/>
          <w:szCs w:val="18"/>
          <w:lang w:val="en"/>
        </w:rPr>
        <w:t xml:space="preserve"> identifies those sites that are most at risk of being lost as a result of neglect, decay or inappropriate development.</w:t>
      </w:r>
      <w:r w:rsidR="00D80770">
        <w:rPr>
          <w:rFonts w:asciiTheme="minorHAnsi" w:hAnsiTheme="minorHAnsi" w:cstheme="minorHAnsi"/>
          <w:sz w:val="22"/>
          <w:szCs w:val="18"/>
          <w:lang w:val="en"/>
        </w:rPr>
        <w:t xml:space="preserve"> </w:t>
      </w:r>
    </w:p>
    <w:p w:rsidR="00213AA7" w:rsidRPr="00D80770" w:rsidRDefault="00213AA7" w:rsidP="00213AA7">
      <w:pPr>
        <w:spacing w:after="200" w:line="276" w:lineRule="auto"/>
        <w:ind w:left="360"/>
        <w:jc w:val="both"/>
        <w:rPr>
          <w:rFonts w:ascii="Calibri" w:eastAsia="Calibri" w:hAnsi="Calibri" w:cs="Times New Roman"/>
          <w:sz w:val="22"/>
          <w:szCs w:val="22"/>
        </w:rPr>
      </w:pPr>
    </w:p>
    <w:tbl>
      <w:tblPr>
        <w:tblStyle w:val="TableGrid"/>
        <w:tblW w:w="0" w:type="auto"/>
        <w:tblInd w:w="392" w:type="dxa"/>
        <w:tblBorders>
          <w:top w:val="single" w:sz="4" w:space="0" w:color="B3CC82"/>
          <w:left w:val="single" w:sz="4" w:space="0" w:color="B3CC82"/>
          <w:bottom w:val="single" w:sz="4" w:space="0" w:color="B3CC82"/>
          <w:right w:val="single" w:sz="4" w:space="0" w:color="B3CC82"/>
          <w:insideH w:val="single" w:sz="4" w:space="0" w:color="B3CC82"/>
          <w:insideV w:val="single" w:sz="4" w:space="0" w:color="B3CC82"/>
        </w:tblBorders>
        <w:tblLook w:val="04A0" w:firstRow="1" w:lastRow="0" w:firstColumn="1" w:lastColumn="0" w:noHBand="0" w:noVBand="1"/>
      </w:tblPr>
      <w:tblGrid>
        <w:gridCol w:w="3402"/>
        <w:gridCol w:w="1134"/>
        <w:gridCol w:w="4314"/>
      </w:tblGrid>
      <w:tr w:rsidR="00D80770" w:rsidTr="00B43422">
        <w:tc>
          <w:tcPr>
            <w:tcW w:w="3402" w:type="dxa"/>
            <w:shd w:val="clear" w:color="auto" w:fill="D6E3BC" w:themeFill="accent3" w:themeFillTint="66"/>
          </w:tcPr>
          <w:p w:rsidR="00D80770" w:rsidRPr="008E693A" w:rsidRDefault="00D80770" w:rsidP="00C6645D">
            <w:pPr>
              <w:jc w:val="center"/>
              <w:rPr>
                <w:rFonts w:ascii="Calibri" w:eastAsia="Calibri" w:hAnsi="Calibri" w:cs="Times New Roman"/>
                <w:b/>
                <w:color w:val="404040" w:themeColor="text1" w:themeTint="BF"/>
                <w:sz w:val="20"/>
                <w:szCs w:val="22"/>
              </w:rPr>
            </w:pPr>
            <w:r w:rsidRPr="008E693A">
              <w:rPr>
                <w:rFonts w:ascii="Calibri" w:eastAsia="Calibri" w:hAnsi="Calibri" w:cs="Times New Roman"/>
                <w:b/>
                <w:color w:val="404040" w:themeColor="text1" w:themeTint="BF"/>
                <w:sz w:val="20"/>
                <w:szCs w:val="22"/>
              </w:rPr>
              <w:t>Heritage Asset</w:t>
            </w:r>
          </w:p>
        </w:tc>
        <w:tc>
          <w:tcPr>
            <w:tcW w:w="1134" w:type="dxa"/>
            <w:shd w:val="clear" w:color="auto" w:fill="D6E3BC" w:themeFill="accent3" w:themeFillTint="66"/>
          </w:tcPr>
          <w:p w:rsidR="00D80770" w:rsidRPr="008E693A" w:rsidRDefault="00D80770" w:rsidP="00C6645D">
            <w:pPr>
              <w:jc w:val="center"/>
              <w:rPr>
                <w:rFonts w:ascii="Calibri" w:eastAsia="Calibri" w:hAnsi="Calibri" w:cs="Times New Roman"/>
                <w:b/>
                <w:color w:val="404040" w:themeColor="text1" w:themeTint="BF"/>
                <w:sz w:val="20"/>
                <w:szCs w:val="22"/>
              </w:rPr>
            </w:pPr>
            <w:r w:rsidRPr="008E693A">
              <w:rPr>
                <w:rFonts w:ascii="Calibri" w:eastAsia="Calibri" w:hAnsi="Calibri" w:cs="Times New Roman"/>
                <w:b/>
                <w:color w:val="404040" w:themeColor="text1" w:themeTint="BF"/>
                <w:sz w:val="20"/>
                <w:szCs w:val="22"/>
              </w:rPr>
              <w:t>Condition</w:t>
            </w:r>
          </w:p>
        </w:tc>
        <w:tc>
          <w:tcPr>
            <w:tcW w:w="4314" w:type="dxa"/>
            <w:shd w:val="clear" w:color="auto" w:fill="D6E3BC" w:themeFill="accent3" w:themeFillTint="66"/>
          </w:tcPr>
          <w:p w:rsidR="00C6645D" w:rsidRPr="008E693A" w:rsidRDefault="00240CC7" w:rsidP="008E693A">
            <w:pPr>
              <w:jc w:val="center"/>
              <w:rPr>
                <w:rFonts w:ascii="Calibri" w:eastAsia="Calibri" w:hAnsi="Calibri" w:cs="Times New Roman"/>
                <w:b/>
                <w:color w:val="404040" w:themeColor="text1" w:themeTint="BF"/>
                <w:sz w:val="20"/>
                <w:szCs w:val="22"/>
              </w:rPr>
            </w:pPr>
            <w:r w:rsidRPr="00240CC7">
              <w:rPr>
                <w:rFonts w:ascii="Calibri" w:eastAsia="Calibri" w:hAnsi="Calibri" w:cs="Calibri"/>
                <w:b/>
                <w:noProof/>
                <w:color w:val="000000"/>
                <w:sz w:val="32"/>
                <w:szCs w:val="32"/>
                <w:lang w:eastAsia="en-GB"/>
              </w:rPr>
              <mc:AlternateContent>
                <mc:Choice Requires="wps">
                  <w:drawing>
                    <wp:anchor distT="0" distB="0" distL="114300" distR="114300" simplePos="0" relativeHeight="251832320" behindDoc="0" locked="0" layoutInCell="1" allowOverlap="1" wp14:anchorId="4F7AA3F3" wp14:editId="2EF088FB">
                      <wp:simplePos x="0" y="0"/>
                      <wp:positionH relativeFrom="column">
                        <wp:posOffset>335280</wp:posOffset>
                      </wp:positionH>
                      <wp:positionV relativeFrom="paragraph">
                        <wp:posOffset>-660400</wp:posOffset>
                      </wp:positionV>
                      <wp:extent cx="2427605" cy="352425"/>
                      <wp:effectExtent l="0" t="0" r="0" b="9525"/>
                      <wp:wrapNone/>
                      <wp:docPr id="140" name="Text Box 140"/>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0" o:spid="_x0000_s1075" type="#_x0000_t202" style="position:absolute;left:0;text-align:left;margin-left:26.4pt;margin-top:-52pt;width:191.15pt;height:27.7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" fillcolor="window" stroked="f" strokeweight=".5pt">
                      <v:textbo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D80770" w:rsidRPr="008E693A">
              <w:rPr>
                <w:rFonts w:ascii="Calibri" w:eastAsia="Calibri" w:hAnsi="Calibri" w:cs="Times New Roman"/>
                <w:b/>
                <w:color w:val="404040" w:themeColor="text1" w:themeTint="BF"/>
                <w:sz w:val="20"/>
                <w:szCs w:val="22"/>
              </w:rPr>
              <w:t>Priority Category</w:t>
            </w:r>
          </w:p>
        </w:tc>
      </w:tr>
      <w:tr w:rsidR="00D80770" w:rsidTr="00C6645D">
        <w:tc>
          <w:tcPr>
            <w:tcW w:w="3402" w:type="dxa"/>
          </w:tcPr>
          <w:p w:rsidR="00D80770" w:rsidRPr="008E693A" w:rsidRDefault="00D80770" w:rsidP="00D80770">
            <w:pP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Church of St Thomas the Martyr</w:t>
            </w:r>
          </w:p>
          <w:p w:rsidR="00C6645D" w:rsidRPr="008E693A" w:rsidRDefault="00D80770" w:rsidP="00D80770">
            <w:pP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St Thomas Street</w:t>
            </w:r>
          </w:p>
        </w:tc>
        <w:tc>
          <w:tcPr>
            <w:tcW w:w="1134" w:type="dxa"/>
          </w:tcPr>
          <w:p w:rsidR="00D80770" w:rsidRPr="008E693A" w:rsidRDefault="00D80770" w:rsidP="00C6645D">
            <w:pPr>
              <w:jc w:val="cente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Poor</w:t>
            </w:r>
          </w:p>
        </w:tc>
        <w:tc>
          <w:tcPr>
            <w:tcW w:w="4314" w:type="dxa"/>
          </w:tcPr>
          <w:p w:rsidR="00D80770" w:rsidRPr="008E693A" w:rsidRDefault="00D80770" w:rsidP="00C6645D">
            <w:pP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C – Slow decay, no solution agreed</w:t>
            </w:r>
          </w:p>
        </w:tc>
      </w:tr>
      <w:tr w:rsidR="00D80770" w:rsidTr="00C6645D">
        <w:tc>
          <w:tcPr>
            <w:tcW w:w="3402" w:type="dxa"/>
          </w:tcPr>
          <w:p w:rsidR="00D80770" w:rsidRPr="008E693A" w:rsidRDefault="00C6645D" w:rsidP="00C6645D">
            <w:pPr>
              <w:tabs>
                <w:tab w:val="left" w:pos="1320"/>
              </w:tabs>
              <w:jc w:val="both"/>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 xml:space="preserve">Swing Bridge, Near </w:t>
            </w:r>
            <w:proofErr w:type="spellStart"/>
            <w:r w:rsidRPr="008E693A">
              <w:rPr>
                <w:rFonts w:ascii="Calibri" w:eastAsia="Calibri" w:hAnsi="Calibri" w:cs="Times New Roman"/>
                <w:color w:val="404040" w:themeColor="text1" w:themeTint="BF"/>
                <w:sz w:val="20"/>
                <w:szCs w:val="22"/>
              </w:rPr>
              <w:t>Rewley</w:t>
            </w:r>
            <w:proofErr w:type="spellEnd"/>
            <w:r w:rsidRPr="008E693A">
              <w:rPr>
                <w:rFonts w:ascii="Calibri" w:eastAsia="Calibri" w:hAnsi="Calibri" w:cs="Times New Roman"/>
                <w:color w:val="404040" w:themeColor="text1" w:themeTint="BF"/>
                <w:sz w:val="20"/>
                <w:szCs w:val="22"/>
              </w:rPr>
              <w:t xml:space="preserve"> Road</w:t>
            </w:r>
          </w:p>
          <w:p w:rsidR="00C6645D" w:rsidRPr="008E693A" w:rsidRDefault="00C6645D" w:rsidP="00C6645D">
            <w:pPr>
              <w:tabs>
                <w:tab w:val="left" w:pos="1320"/>
              </w:tabs>
              <w:jc w:val="both"/>
              <w:rPr>
                <w:rFonts w:ascii="Calibri" w:eastAsia="Calibri" w:hAnsi="Calibri" w:cs="Times New Roman"/>
                <w:color w:val="404040" w:themeColor="text1" w:themeTint="BF"/>
                <w:sz w:val="20"/>
                <w:szCs w:val="22"/>
              </w:rPr>
            </w:pPr>
          </w:p>
        </w:tc>
        <w:tc>
          <w:tcPr>
            <w:tcW w:w="1134" w:type="dxa"/>
          </w:tcPr>
          <w:p w:rsidR="00D80770" w:rsidRPr="008E693A" w:rsidRDefault="00C6645D" w:rsidP="00C6645D">
            <w:pPr>
              <w:jc w:val="cente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Very Bad</w:t>
            </w:r>
          </w:p>
          <w:p w:rsidR="00C6645D" w:rsidRPr="008E693A" w:rsidRDefault="00C6645D" w:rsidP="00C6645D">
            <w:pPr>
              <w:jc w:val="center"/>
              <w:rPr>
                <w:rFonts w:ascii="Calibri" w:eastAsia="Calibri" w:hAnsi="Calibri" w:cs="Times New Roman"/>
                <w:color w:val="404040" w:themeColor="text1" w:themeTint="BF"/>
                <w:sz w:val="20"/>
                <w:szCs w:val="22"/>
              </w:rPr>
            </w:pPr>
          </w:p>
          <w:p w:rsidR="00C6645D" w:rsidRPr="008E693A" w:rsidRDefault="00C6645D" w:rsidP="008E693A">
            <w:pPr>
              <w:rPr>
                <w:rFonts w:ascii="Calibri" w:eastAsia="Calibri" w:hAnsi="Calibri" w:cs="Times New Roman"/>
                <w:color w:val="404040" w:themeColor="text1" w:themeTint="BF"/>
                <w:sz w:val="20"/>
                <w:szCs w:val="22"/>
              </w:rPr>
            </w:pPr>
          </w:p>
        </w:tc>
        <w:tc>
          <w:tcPr>
            <w:tcW w:w="4314" w:type="dxa"/>
          </w:tcPr>
          <w:p w:rsidR="00C6645D" w:rsidRPr="008E693A" w:rsidRDefault="00C6645D" w:rsidP="00C6645D">
            <w:pPr>
              <w:rPr>
                <w:rFonts w:ascii="Calibri" w:eastAsia="Calibri" w:hAnsi="Calibri" w:cs="Times New Roman"/>
                <w:color w:val="404040" w:themeColor="text1" w:themeTint="BF"/>
                <w:sz w:val="20"/>
                <w:szCs w:val="22"/>
              </w:rPr>
            </w:pPr>
            <w:r w:rsidRPr="008E693A">
              <w:rPr>
                <w:rFonts w:ascii="Calibri" w:eastAsia="Calibri" w:hAnsi="Calibri" w:cs="Times New Roman"/>
                <w:color w:val="404040" w:themeColor="text1" w:themeTint="BF"/>
                <w:sz w:val="20"/>
                <w:szCs w:val="22"/>
              </w:rPr>
              <w:t>B – Immediate risk of further rapid deterioration or loss of fabric; solution agreed but not implemented</w:t>
            </w:r>
          </w:p>
        </w:tc>
      </w:tr>
    </w:tbl>
    <w:p w:rsidR="008E693A" w:rsidRPr="008E693A" w:rsidRDefault="008B306D" w:rsidP="004832AE">
      <w:pPr>
        <w:spacing w:after="200" w:line="276" w:lineRule="auto"/>
        <w:jc w:val="center"/>
        <w:rPr>
          <w:rFonts w:ascii="Calibri" w:eastAsia="Calibri" w:hAnsi="Calibri" w:cs="Times New Roman"/>
          <w:sz w:val="20"/>
          <w:szCs w:val="22"/>
        </w:rPr>
      </w:pPr>
      <w:r>
        <w:rPr>
          <w:rFonts w:ascii="Calibri" w:eastAsia="Calibri" w:hAnsi="Calibri" w:cs="Times New Roman"/>
          <w:b/>
          <w:sz w:val="20"/>
          <w:szCs w:val="22"/>
        </w:rPr>
        <w:t>Figure 26</w:t>
      </w:r>
      <w:r w:rsidR="008E693A">
        <w:rPr>
          <w:rFonts w:ascii="Calibri" w:eastAsia="Calibri" w:hAnsi="Calibri" w:cs="Times New Roman"/>
          <w:b/>
          <w:sz w:val="20"/>
          <w:szCs w:val="22"/>
        </w:rPr>
        <w:t>:</w:t>
      </w:r>
      <w:r w:rsidR="008E693A">
        <w:rPr>
          <w:rFonts w:ascii="Calibri" w:eastAsia="Calibri" w:hAnsi="Calibri" w:cs="Times New Roman"/>
          <w:sz w:val="20"/>
          <w:szCs w:val="22"/>
        </w:rPr>
        <w:t xml:space="preserve"> Heritage ass</w:t>
      </w:r>
      <w:r w:rsidR="00213AA7">
        <w:rPr>
          <w:rFonts w:ascii="Calibri" w:eastAsia="Calibri" w:hAnsi="Calibri" w:cs="Times New Roman"/>
          <w:sz w:val="20"/>
          <w:szCs w:val="22"/>
        </w:rPr>
        <w:t>ets at risk in Oxford 2013/14 (</w:t>
      </w:r>
      <w:r w:rsidR="008E693A">
        <w:rPr>
          <w:rFonts w:ascii="Calibri" w:eastAsia="Calibri" w:hAnsi="Calibri" w:cs="Times New Roman"/>
          <w:sz w:val="20"/>
          <w:szCs w:val="22"/>
        </w:rPr>
        <w:t xml:space="preserve">English Heritage) </w:t>
      </w:r>
    </w:p>
    <w:p w:rsidR="00C6645D" w:rsidRPr="00C16EA1" w:rsidRDefault="008B306D" w:rsidP="004335B5">
      <w:pPr>
        <w:numPr>
          <w:ilvl w:val="0"/>
          <w:numId w:val="7"/>
        </w:numPr>
        <w:spacing w:after="200" w:line="276" w:lineRule="auto"/>
        <w:jc w:val="both"/>
        <w:rPr>
          <w:rFonts w:ascii="Calibri" w:eastAsia="Calibri" w:hAnsi="Calibri" w:cs="Times New Roman"/>
          <w:sz w:val="22"/>
          <w:szCs w:val="22"/>
        </w:rPr>
      </w:pPr>
      <w:r>
        <w:rPr>
          <w:rFonts w:asciiTheme="minorHAnsi" w:hAnsiTheme="minorHAnsi" w:cstheme="minorHAnsi"/>
          <w:sz w:val="22"/>
          <w:szCs w:val="18"/>
          <w:lang w:val="en"/>
        </w:rPr>
        <w:t>Figure 26</w:t>
      </w:r>
      <w:r w:rsidR="00213AA7">
        <w:rPr>
          <w:rFonts w:asciiTheme="minorHAnsi" w:hAnsiTheme="minorHAnsi" w:cstheme="minorHAnsi"/>
          <w:sz w:val="22"/>
          <w:szCs w:val="18"/>
          <w:lang w:val="en"/>
        </w:rPr>
        <w:t xml:space="preserve"> shows that two</w:t>
      </w:r>
      <w:r w:rsidR="004832AE">
        <w:rPr>
          <w:rFonts w:asciiTheme="minorHAnsi" w:hAnsiTheme="minorHAnsi" w:cstheme="minorHAnsi"/>
          <w:sz w:val="22"/>
          <w:szCs w:val="18"/>
          <w:lang w:val="en"/>
        </w:rPr>
        <w:t xml:space="preserve"> of Oxford’s heritage assets were identified as being at risk within the monitoring year. </w:t>
      </w:r>
      <w:r w:rsidR="00C16EA1">
        <w:rPr>
          <w:rFonts w:asciiTheme="minorHAnsi" w:hAnsiTheme="minorHAnsi" w:cstheme="minorHAnsi"/>
          <w:sz w:val="22"/>
          <w:szCs w:val="18"/>
          <w:lang w:val="en"/>
        </w:rPr>
        <w:t>Although t</w:t>
      </w:r>
      <w:r w:rsidR="00515B24" w:rsidRPr="00C16EA1">
        <w:rPr>
          <w:rFonts w:asciiTheme="minorHAnsi" w:hAnsiTheme="minorHAnsi" w:cstheme="minorHAnsi"/>
          <w:sz w:val="22"/>
          <w:szCs w:val="18"/>
          <w:lang w:val="en"/>
        </w:rPr>
        <w:t xml:space="preserve">his represents an increase in the number of heritage assets at risk when compared </w:t>
      </w:r>
      <w:r w:rsidR="003B611F">
        <w:rPr>
          <w:rFonts w:asciiTheme="minorHAnsi" w:hAnsiTheme="minorHAnsi" w:cstheme="minorHAnsi"/>
          <w:sz w:val="22"/>
          <w:szCs w:val="18"/>
          <w:lang w:val="en"/>
        </w:rPr>
        <w:t>to</w:t>
      </w:r>
      <w:r w:rsidR="00213AA7">
        <w:rPr>
          <w:rFonts w:asciiTheme="minorHAnsi" w:hAnsiTheme="minorHAnsi" w:cstheme="minorHAnsi"/>
          <w:sz w:val="22"/>
          <w:szCs w:val="18"/>
          <w:lang w:val="en"/>
        </w:rPr>
        <w:t xml:space="preserve"> 2012/13</w:t>
      </w:r>
      <w:r w:rsidR="003B611F">
        <w:rPr>
          <w:rFonts w:asciiTheme="minorHAnsi" w:hAnsiTheme="minorHAnsi" w:cstheme="minorHAnsi"/>
          <w:sz w:val="22"/>
          <w:szCs w:val="18"/>
          <w:lang w:val="en"/>
        </w:rPr>
        <w:t xml:space="preserve">, the </w:t>
      </w:r>
      <w:r w:rsidR="004832AE">
        <w:rPr>
          <w:rFonts w:asciiTheme="minorHAnsi" w:hAnsiTheme="minorHAnsi" w:cstheme="minorHAnsi"/>
          <w:sz w:val="22"/>
          <w:szCs w:val="18"/>
          <w:lang w:val="en"/>
        </w:rPr>
        <w:t xml:space="preserve">total </w:t>
      </w:r>
      <w:r w:rsidR="003B611F">
        <w:rPr>
          <w:rFonts w:asciiTheme="minorHAnsi" w:hAnsiTheme="minorHAnsi" w:cstheme="minorHAnsi"/>
          <w:sz w:val="22"/>
          <w:szCs w:val="18"/>
          <w:lang w:val="en"/>
        </w:rPr>
        <w:t>n</w:t>
      </w:r>
      <w:r w:rsidR="00213AA7">
        <w:rPr>
          <w:rFonts w:asciiTheme="minorHAnsi" w:hAnsiTheme="minorHAnsi" w:cstheme="minorHAnsi"/>
          <w:sz w:val="22"/>
          <w:szCs w:val="18"/>
          <w:lang w:val="en"/>
        </w:rPr>
        <w:t xml:space="preserve">umber </w:t>
      </w:r>
      <w:r w:rsidR="003B611F">
        <w:rPr>
          <w:rFonts w:asciiTheme="minorHAnsi" w:hAnsiTheme="minorHAnsi" w:cstheme="minorHAnsi"/>
          <w:sz w:val="22"/>
          <w:szCs w:val="18"/>
          <w:lang w:val="en"/>
        </w:rPr>
        <w:t xml:space="preserve">remains low, particularly given the number of heritage assets within the </w:t>
      </w:r>
      <w:r w:rsidR="003161C9">
        <w:rPr>
          <w:rFonts w:asciiTheme="minorHAnsi" w:hAnsiTheme="minorHAnsi" w:cstheme="minorHAnsi"/>
          <w:sz w:val="22"/>
          <w:szCs w:val="18"/>
          <w:lang w:val="en"/>
        </w:rPr>
        <w:t>city</w:t>
      </w:r>
      <w:r w:rsidR="003B611F">
        <w:rPr>
          <w:rFonts w:asciiTheme="minorHAnsi" w:hAnsiTheme="minorHAnsi" w:cstheme="minorHAnsi"/>
          <w:sz w:val="22"/>
          <w:szCs w:val="18"/>
          <w:lang w:val="en"/>
        </w:rPr>
        <w:t xml:space="preserve">. </w:t>
      </w:r>
      <w:r>
        <w:rPr>
          <w:rFonts w:asciiTheme="minorHAnsi" w:hAnsiTheme="minorHAnsi" w:cstheme="minorHAnsi"/>
          <w:sz w:val="22"/>
          <w:szCs w:val="18"/>
          <w:lang w:val="en"/>
        </w:rPr>
        <w:t>Figure 27</w:t>
      </w:r>
      <w:r w:rsidR="00213AA7">
        <w:rPr>
          <w:rFonts w:asciiTheme="minorHAnsi" w:hAnsiTheme="minorHAnsi" w:cstheme="minorHAnsi"/>
          <w:sz w:val="22"/>
          <w:szCs w:val="18"/>
          <w:lang w:val="en"/>
        </w:rPr>
        <w:t xml:space="preserve"> shows that t</w:t>
      </w:r>
      <w:r w:rsidR="003B611F">
        <w:rPr>
          <w:rFonts w:asciiTheme="minorHAnsi" w:hAnsiTheme="minorHAnsi" w:cstheme="minorHAnsi"/>
          <w:sz w:val="22"/>
          <w:szCs w:val="18"/>
          <w:lang w:val="en"/>
        </w:rPr>
        <w:t>here has been no net increase</w:t>
      </w:r>
      <w:r w:rsidR="00213AA7">
        <w:rPr>
          <w:rFonts w:asciiTheme="minorHAnsi" w:hAnsiTheme="minorHAnsi" w:cstheme="minorHAnsi"/>
          <w:sz w:val="22"/>
          <w:szCs w:val="18"/>
          <w:lang w:val="en"/>
        </w:rPr>
        <w:t xml:space="preserve"> in heritage assets at risk when compared to </w:t>
      </w:r>
      <w:r w:rsidR="003B611F">
        <w:rPr>
          <w:rFonts w:asciiTheme="minorHAnsi" w:hAnsiTheme="minorHAnsi" w:cstheme="minorHAnsi"/>
          <w:sz w:val="22"/>
          <w:szCs w:val="18"/>
          <w:lang w:val="en"/>
        </w:rPr>
        <w:t>the Core Strategy baseline</w:t>
      </w:r>
      <w:r w:rsidR="00213AA7">
        <w:rPr>
          <w:rFonts w:asciiTheme="minorHAnsi" w:hAnsiTheme="minorHAnsi" w:cstheme="minorHAnsi"/>
          <w:sz w:val="22"/>
          <w:szCs w:val="18"/>
          <w:lang w:val="en"/>
        </w:rPr>
        <w:t>.</w:t>
      </w:r>
    </w:p>
    <w:p w:rsidR="001C1F00" w:rsidRDefault="00E67E83" w:rsidP="00E67E83">
      <w:pPr>
        <w:jc w:val="center"/>
        <w:rPr>
          <w:rFonts w:ascii="Calibri" w:eastAsia="Calibri" w:hAnsi="Calibri" w:cs="Times New Roman"/>
          <w:sz w:val="22"/>
          <w:szCs w:val="22"/>
        </w:rPr>
      </w:pPr>
      <w:r>
        <w:rPr>
          <w:noProof/>
          <w:lang w:eastAsia="en-GB"/>
        </w:rPr>
        <w:drawing>
          <wp:inline distT="0" distB="0" distL="0" distR="0" wp14:anchorId="5CC3C7A5" wp14:editId="5DCEE333">
            <wp:extent cx="5505450" cy="2724150"/>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0CC7" w:rsidRPr="00EF6B97" w:rsidRDefault="008B306D" w:rsidP="00EF6B97">
      <w:pPr>
        <w:jc w:val="center"/>
        <w:rPr>
          <w:rFonts w:ascii="Calibri" w:eastAsia="Calibri" w:hAnsi="Calibri" w:cs="Times New Roman"/>
          <w:b/>
          <w:sz w:val="20"/>
        </w:rPr>
      </w:pPr>
      <w:r>
        <w:rPr>
          <w:rFonts w:ascii="Calibri" w:eastAsia="Calibri" w:hAnsi="Calibri" w:cs="Times New Roman"/>
          <w:b/>
          <w:sz w:val="20"/>
          <w:szCs w:val="22"/>
        </w:rPr>
        <w:t>Figure 27</w:t>
      </w:r>
      <w:r w:rsidR="00EF6B97">
        <w:rPr>
          <w:rFonts w:ascii="Calibri" w:eastAsia="Calibri" w:hAnsi="Calibri" w:cs="Times New Roman"/>
          <w:b/>
          <w:sz w:val="20"/>
          <w:szCs w:val="22"/>
        </w:rPr>
        <w:t>:</w:t>
      </w:r>
      <w:r w:rsidR="00EF6B97">
        <w:rPr>
          <w:rFonts w:ascii="Calibri" w:eastAsia="Calibri" w:hAnsi="Calibri" w:cs="Times New Roman"/>
          <w:sz w:val="20"/>
          <w:szCs w:val="22"/>
        </w:rPr>
        <w:t xml:space="preserve"> Numbe</w:t>
      </w:r>
      <w:r w:rsidR="00240CC7">
        <w:rPr>
          <w:rFonts w:ascii="Calibri" w:eastAsia="Calibri" w:hAnsi="Calibri" w:cs="Times New Roman"/>
          <w:sz w:val="20"/>
          <w:szCs w:val="22"/>
        </w:rPr>
        <w:t xml:space="preserve">r of heritage assets at risk in 2013/14 compared to </w:t>
      </w:r>
    </w:p>
    <w:p w:rsidR="008E693A" w:rsidRPr="00240CC7" w:rsidRDefault="00240CC7" w:rsidP="00240CC7">
      <w:pPr>
        <w:spacing w:after="200" w:line="276" w:lineRule="auto"/>
        <w:jc w:val="center"/>
        <w:rPr>
          <w:rFonts w:ascii="Calibri" w:eastAsia="Calibri" w:hAnsi="Calibri" w:cs="Times New Roman"/>
          <w:sz w:val="20"/>
          <w:szCs w:val="22"/>
        </w:rPr>
      </w:pPr>
      <w:proofErr w:type="gramStart"/>
      <w:r>
        <w:rPr>
          <w:rFonts w:ascii="Calibri" w:eastAsia="Calibri" w:hAnsi="Calibri" w:cs="Times New Roman"/>
          <w:sz w:val="20"/>
          <w:szCs w:val="22"/>
        </w:rPr>
        <w:t>recent</w:t>
      </w:r>
      <w:proofErr w:type="gramEnd"/>
      <w:r>
        <w:rPr>
          <w:rFonts w:ascii="Calibri" w:eastAsia="Calibri" w:hAnsi="Calibri" w:cs="Times New Roman"/>
          <w:sz w:val="20"/>
          <w:szCs w:val="22"/>
        </w:rPr>
        <w:t xml:space="preserve"> monitoring years and the Core Strategy Baseline</w:t>
      </w:r>
    </w:p>
    <w:p w:rsidR="007350E5" w:rsidRDefault="000366FD" w:rsidP="00A31762">
      <w:pPr>
        <w:rPr>
          <w:color w:val="632423" w:themeColor="accent2" w:themeShade="80"/>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16608" behindDoc="1" locked="0" layoutInCell="1" allowOverlap="1" wp14:anchorId="64EF08B2" wp14:editId="412D8774">
                <wp:simplePos x="0" y="0"/>
                <wp:positionH relativeFrom="column">
                  <wp:posOffset>-57150</wp:posOffset>
                </wp:positionH>
                <wp:positionV relativeFrom="paragraph">
                  <wp:posOffset>93980</wp:posOffset>
                </wp:positionV>
                <wp:extent cx="5886450" cy="2171700"/>
                <wp:effectExtent l="0" t="0" r="0" b="0"/>
                <wp:wrapNone/>
                <wp:docPr id="170" name="Rectangle 170"/>
                <wp:cNvGraphicFramePr/>
                <a:graphic xmlns:a="http://schemas.openxmlformats.org/drawingml/2006/main">
                  <a:graphicData uri="http://schemas.microsoft.com/office/word/2010/wordprocessingShape">
                    <wps:wsp>
                      <wps:cNvSpPr/>
                      <wps:spPr>
                        <a:xfrm>
                          <a:off x="0" y="0"/>
                          <a:ext cx="5886450" cy="2171700"/>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26" style="position:absolute;margin-left:-4.5pt;margin-top:7.4pt;width:463.5pt;height:17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" fillcolor="#c2d69b [1942]" stroked="f" strokeweight="2pt"/>
            </w:pict>
          </mc:Fallback>
        </mc:AlternateContent>
      </w:r>
    </w:p>
    <w:p w:rsidR="00FD3E84" w:rsidRPr="000B530E" w:rsidRDefault="00FD3E84" w:rsidP="00EC00D8">
      <w:pPr>
        <w:autoSpaceDE w:val="0"/>
        <w:autoSpaceDN w:val="0"/>
        <w:adjustRightInd w:val="0"/>
        <w:rPr>
          <w:rFonts w:ascii="Calibri" w:eastAsia="Calibri" w:hAnsi="Calibri" w:cs="Calibri"/>
          <w:color w:val="3F4F21"/>
        </w:rPr>
      </w:pPr>
      <w:r>
        <w:rPr>
          <w:rFonts w:ascii="Calibri" w:eastAsia="Calibri" w:hAnsi="Calibri" w:cs="Calibri"/>
          <w:b/>
          <w:color w:val="3F4F21"/>
        </w:rPr>
        <w:t>I</w:t>
      </w:r>
      <w:r w:rsidRPr="000B530E">
        <w:rPr>
          <w:rFonts w:ascii="Calibri" w:eastAsia="Calibri" w:hAnsi="Calibri" w:cs="Calibri"/>
          <w:b/>
          <w:color w:val="3F4F21"/>
        </w:rPr>
        <w:t>ndicator 2</w:t>
      </w:r>
      <w:r>
        <w:rPr>
          <w:rFonts w:ascii="Calibri" w:eastAsia="Calibri" w:hAnsi="Calibri" w:cs="Calibri"/>
          <w:b/>
          <w:color w:val="3F4F21"/>
        </w:rPr>
        <w:t>8</w:t>
      </w:r>
      <w:r w:rsidRPr="000B530E">
        <w:rPr>
          <w:rFonts w:ascii="Calibri" w:eastAsia="Calibri" w:hAnsi="Calibri" w:cs="Calibri"/>
          <w:b/>
          <w:color w:val="3F4F21"/>
        </w:rPr>
        <w:t xml:space="preserve">: </w:t>
      </w:r>
      <w:r w:rsidRPr="00D36778">
        <w:rPr>
          <w:rFonts w:ascii="Calibri" w:eastAsia="Calibri" w:hAnsi="Calibri" w:cs="Calibri"/>
          <w:b/>
          <w:color w:val="3F4F21"/>
        </w:rPr>
        <w:t>APPLICATIONS INVOLVING THE TOTAL, SUBSTANTIAL OR PARTIAL DEMOLITION OF A LISTED BUILDING</w:t>
      </w:r>
    </w:p>
    <w:p w:rsidR="00FD3E84" w:rsidRPr="000B530E" w:rsidRDefault="00FD3E84" w:rsidP="00FD3E84">
      <w:pPr>
        <w:autoSpaceDE w:val="0"/>
        <w:autoSpaceDN w:val="0"/>
        <w:adjustRightInd w:val="0"/>
        <w:jc w:val="both"/>
        <w:rPr>
          <w:rFonts w:ascii="Calibri" w:eastAsia="Calibri" w:hAnsi="Calibri" w:cs="Calibri"/>
          <w:b/>
          <w:color w:val="3F4F21"/>
          <w:sz w:val="10"/>
          <w:szCs w:val="22"/>
        </w:rPr>
      </w:pPr>
    </w:p>
    <w:p w:rsidR="00EC00D8" w:rsidRDefault="00FD3E84" w:rsidP="00EC00D8">
      <w:pPr>
        <w:autoSpaceDE w:val="0"/>
        <w:autoSpaceDN w:val="0"/>
        <w:adjustRightInd w:val="0"/>
        <w:jc w:val="both"/>
        <w:rPr>
          <w:rFonts w:ascii="Calibri" w:eastAsia="Calibri" w:hAnsi="Calibri" w:cs="Calibri"/>
          <w:b/>
          <w:color w:val="3F4F21"/>
          <w:sz w:val="22"/>
          <w:szCs w:val="22"/>
        </w:rPr>
      </w:pPr>
      <w:r w:rsidRPr="000B530E">
        <w:rPr>
          <w:rFonts w:ascii="Calibri" w:eastAsia="Calibri" w:hAnsi="Calibri" w:cs="Calibri"/>
          <w:b/>
          <w:color w:val="3F4F21"/>
          <w:sz w:val="22"/>
          <w:szCs w:val="22"/>
        </w:rPr>
        <w:t xml:space="preserve">Target: </w:t>
      </w:r>
      <w:r w:rsidRPr="00D36778">
        <w:rPr>
          <w:rFonts w:ascii="Calibri" w:eastAsia="Calibri" w:hAnsi="Calibri" w:cs="Calibri"/>
          <w:b/>
          <w:color w:val="3F4F21"/>
          <w:sz w:val="22"/>
          <w:szCs w:val="22"/>
        </w:rPr>
        <w:t>0% Listed Building Consents or planning permissions approved by the City Council</w:t>
      </w:r>
      <w:r>
        <w:rPr>
          <w:rFonts w:ascii="Calibri" w:eastAsia="Calibri" w:hAnsi="Calibri" w:cs="Calibri"/>
          <w:b/>
          <w:color w:val="3F4F21"/>
          <w:sz w:val="22"/>
          <w:szCs w:val="22"/>
        </w:rPr>
        <w:t xml:space="preserve"> that </w:t>
      </w:r>
      <w:r w:rsidRPr="00D36778">
        <w:rPr>
          <w:rFonts w:ascii="Calibri" w:eastAsia="Calibri" w:hAnsi="Calibri" w:cs="Calibri"/>
          <w:b/>
          <w:color w:val="3F4F21"/>
          <w:sz w:val="22"/>
          <w:szCs w:val="22"/>
        </w:rPr>
        <w:t>involve the total, substantial or partial demolition of a listed buildin</w:t>
      </w:r>
      <w:r w:rsidRPr="00D36778">
        <w:rPr>
          <w:rFonts w:ascii="Calibri" w:eastAsia="Calibri" w:hAnsi="Calibri" w:cs="Calibri"/>
          <w:b/>
          <w:color w:val="3F4F21"/>
        </w:rPr>
        <w:t>g</w:t>
      </w:r>
      <w:r w:rsidRPr="00D36778">
        <w:rPr>
          <w:rFonts w:ascii="Calibri" w:eastAsia="Calibri" w:hAnsi="Calibri" w:cs="Calibri"/>
          <w:b/>
          <w:color w:val="3F4F21"/>
          <w:sz w:val="22"/>
          <w:szCs w:val="22"/>
        </w:rPr>
        <w:t xml:space="preserve"> </w:t>
      </w:r>
    </w:p>
    <w:p w:rsidR="00FD3E84" w:rsidRPr="00EC00D8" w:rsidRDefault="00A234AB" w:rsidP="00FD3E84">
      <w:pPr>
        <w:autoSpaceDE w:val="0"/>
        <w:autoSpaceDN w:val="0"/>
        <w:adjustRightInd w:val="0"/>
        <w:jc w:val="both"/>
        <w:rPr>
          <w:rFonts w:ascii="Calibri" w:eastAsia="Calibri" w:hAnsi="Calibri" w:cs="Calibri"/>
          <w:color w:val="4F6228" w:themeColor="accent3" w:themeShade="80"/>
          <w:sz w:val="20"/>
          <w:szCs w:val="22"/>
        </w:rPr>
      </w:pPr>
      <w:r>
        <w:rPr>
          <w:rFonts w:ascii="Calibri" w:eastAsia="Calibri" w:hAnsi="Calibri" w:cs="Calibri"/>
          <w:color w:val="4F6228" w:themeColor="accent3" w:themeShade="80"/>
          <w:sz w:val="20"/>
          <w:szCs w:val="22"/>
        </w:rPr>
        <w:t>(Oxford Core Strategy</w:t>
      </w:r>
      <w:r w:rsidR="00EC00D8" w:rsidRPr="00EC00D8">
        <w:rPr>
          <w:rFonts w:ascii="Calibri" w:eastAsia="Calibri" w:hAnsi="Calibri" w:cs="Calibri"/>
          <w:color w:val="4F6228" w:themeColor="accent3" w:themeShade="80"/>
          <w:sz w:val="20"/>
          <w:szCs w:val="22"/>
        </w:rPr>
        <w:t xml:space="preserve"> Policy CS</w:t>
      </w:r>
      <w:r w:rsidR="00EC00D8">
        <w:rPr>
          <w:rFonts w:ascii="Calibri" w:eastAsia="Calibri" w:hAnsi="Calibri" w:cs="Calibri"/>
          <w:color w:val="4F6228" w:themeColor="accent3" w:themeShade="80"/>
          <w:sz w:val="20"/>
          <w:szCs w:val="22"/>
        </w:rPr>
        <w:t>18</w:t>
      </w:r>
      <w:r w:rsidR="00EC00D8" w:rsidRPr="00EC00D8">
        <w:rPr>
          <w:rFonts w:ascii="Calibri" w:eastAsia="Calibri" w:hAnsi="Calibri" w:cs="Calibri"/>
          <w:color w:val="4F6228" w:themeColor="accent3" w:themeShade="80"/>
          <w:sz w:val="20"/>
          <w:szCs w:val="22"/>
        </w:rPr>
        <w:t>)</w:t>
      </w:r>
    </w:p>
    <w:p w:rsidR="00FD3E84" w:rsidRPr="000B530E" w:rsidRDefault="00FD3E84" w:rsidP="00FD3E84">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FD3E84" w:rsidRPr="000B530E" w:rsidTr="00080674">
        <w:trPr>
          <w:trHeight w:val="218"/>
        </w:trPr>
        <w:tc>
          <w:tcPr>
            <w:tcW w:w="5420" w:type="dxa"/>
          </w:tcPr>
          <w:p w:rsidR="00FD3E84" w:rsidRPr="000B530E" w:rsidRDefault="00FD3E84"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FD3E84" w:rsidRPr="000B530E" w:rsidTr="00080674">
        <w:tc>
          <w:tcPr>
            <w:tcW w:w="5420" w:type="dxa"/>
            <w:vMerge w:val="restart"/>
          </w:tcPr>
          <w:p w:rsidR="00FD3E84" w:rsidRPr="000B530E" w:rsidRDefault="00FD3E84" w:rsidP="00080674">
            <w:pPr>
              <w:autoSpaceDE w:val="0"/>
              <w:autoSpaceDN w:val="0"/>
              <w:adjustRightInd w:val="0"/>
              <w:jc w:val="center"/>
              <w:rPr>
                <w:rFonts w:ascii="Calibri" w:eastAsia="Calibri" w:hAnsi="Calibri" w:cs="Calibri"/>
                <w:b/>
                <w:color w:val="3F4F21"/>
                <w:sz w:val="8"/>
                <w:szCs w:val="8"/>
              </w:rPr>
            </w:pPr>
          </w:p>
          <w:p w:rsidR="00FD3E84" w:rsidRPr="000B530E" w:rsidRDefault="000366FD" w:rsidP="00080674">
            <w:pPr>
              <w:autoSpaceDE w:val="0"/>
              <w:autoSpaceDN w:val="0"/>
              <w:adjustRightInd w:val="0"/>
              <w:jc w:val="center"/>
              <w:rPr>
                <w:rFonts w:ascii="Calibri" w:eastAsia="Calibri" w:hAnsi="Calibri" w:cs="Calibri"/>
                <w:b/>
                <w:color w:val="3F4F21"/>
                <w:sz w:val="12"/>
                <w:szCs w:val="12"/>
              </w:rPr>
            </w:pPr>
            <w:r>
              <w:rPr>
                <w:b/>
                <w:noProof/>
                <w:sz w:val="32"/>
                <w:szCs w:val="32"/>
                <w:lang w:eastAsia="en-GB"/>
              </w:rPr>
              <w:drawing>
                <wp:inline distT="0" distB="0" distL="0" distR="0" wp14:anchorId="0AB25179" wp14:editId="75EC4ABF">
                  <wp:extent cx="1619250" cy="504996"/>
                  <wp:effectExtent l="0" t="0" r="0" b="9525"/>
                  <wp:docPr id="94" name="Picture 94"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016" cy="506794"/>
                          </a:xfrm>
                          <a:prstGeom prst="rect">
                            <a:avLst/>
                          </a:prstGeom>
                          <a:noFill/>
                          <a:ln>
                            <a:noFill/>
                          </a:ln>
                        </pic:spPr>
                      </pic:pic>
                    </a:graphicData>
                  </a:graphic>
                </wp:inline>
              </w:drawing>
            </w: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Pr>
                <w:b/>
                <w:noProof/>
                <w:sz w:val="32"/>
                <w:szCs w:val="32"/>
                <w:lang w:eastAsia="en-GB"/>
              </w:rPr>
              <w:drawing>
                <wp:inline distT="0" distB="0" distL="0" distR="0" wp14:anchorId="04FC7FA5" wp14:editId="65B992F6">
                  <wp:extent cx="1085850" cy="338644"/>
                  <wp:effectExtent l="0" t="0" r="0" b="4445"/>
                  <wp:docPr id="167" name="Picture 167"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FD3E84" w:rsidRPr="000B530E" w:rsidRDefault="00FD3E84" w:rsidP="00080674">
            <w:pPr>
              <w:autoSpaceDE w:val="0"/>
              <w:autoSpaceDN w:val="0"/>
              <w:adjustRightInd w:val="0"/>
              <w:jc w:val="center"/>
              <w:rPr>
                <w:rFonts w:ascii="Calibri" w:eastAsia="Calibri" w:hAnsi="Calibri" w:cs="Calibri"/>
                <w:b/>
                <w:color w:val="3F4F21"/>
                <w:sz w:val="8"/>
                <w:szCs w:val="8"/>
              </w:rPr>
            </w:pPr>
          </w:p>
        </w:tc>
      </w:tr>
      <w:tr w:rsidR="00FD3E84" w:rsidRPr="000B530E" w:rsidTr="00080674">
        <w:tc>
          <w:tcPr>
            <w:tcW w:w="5420" w:type="dxa"/>
            <w:vMerge/>
          </w:tcPr>
          <w:p w:rsidR="00FD3E84" w:rsidRPr="000B530E" w:rsidRDefault="00FD3E84" w:rsidP="00080674">
            <w:pPr>
              <w:autoSpaceDE w:val="0"/>
              <w:autoSpaceDN w:val="0"/>
              <w:adjustRightInd w:val="0"/>
              <w:jc w:val="center"/>
              <w:rPr>
                <w:rFonts w:ascii="Calibri" w:eastAsia="Calibri" w:hAnsi="Calibri" w:cs="Calibri"/>
                <w:b/>
                <w:color w:val="3F4F21"/>
                <w:sz w:val="22"/>
                <w:szCs w:val="22"/>
              </w:rPr>
            </w:pP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FD3E84" w:rsidRPr="000B530E" w:rsidRDefault="00FD3E84"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1B47E626" wp14:editId="3055002B">
                  <wp:extent cx="1085850" cy="326964"/>
                  <wp:effectExtent l="0" t="0" r="0" b="0"/>
                  <wp:docPr id="168" name="Picture 16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FD3E84" w:rsidRDefault="00FD3E84" w:rsidP="00A31762">
      <w:pPr>
        <w:rPr>
          <w:color w:val="632423" w:themeColor="accent2" w:themeShade="80"/>
          <w:sz w:val="22"/>
          <w:szCs w:val="22"/>
        </w:rPr>
      </w:pPr>
    </w:p>
    <w:p w:rsidR="00213AA7" w:rsidRPr="00F6595A" w:rsidRDefault="003C5F0B" w:rsidP="00F6595A">
      <w:pPr>
        <w:numPr>
          <w:ilvl w:val="0"/>
          <w:numId w:val="7"/>
        </w:numPr>
        <w:spacing w:after="200" w:line="276" w:lineRule="auto"/>
        <w:jc w:val="both"/>
        <w:rPr>
          <w:rFonts w:ascii="Calibri" w:eastAsia="Calibri" w:hAnsi="Calibri" w:cs="Times New Roman"/>
          <w:sz w:val="22"/>
          <w:szCs w:val="22"/>
        </w:rPr>
      </w:pPr>
      <w:r>
        <w:rPr>
          <w:rFonts w:asciiTheme="minorHAnsi" w:hAnsiTheme="minorHAnsi" w:cstheme="minorHAnsi"/>
          <w:sz w:val="22"/>
          <w:szCs w:val="18"/>
          <w:lang w:val="en"/>
        </w:rPr>
        <w:t>During the 2013/14 monitoring year, 11</w:t>
      </w:r>
      <w:r w:rsidR="00AC3C68">
        <w:rPr>
          <w:rFonts w:asciiTheme="minorHAnsi" w:hAnsiTheme="minorHAnsi" w:cstheme="minorHAnsi"/>
          <w:sz w:val="22"/>
          <w:szCs w:val="18"/>
          <w:lang w:val="en"/>
        </w:rPr>
        <w:t xml:space="preserve"> applications </w:t>
      </w:r>
      <w:r>
        <w:rPr>
          <w:rFonts w:asciiTheme="minorHAnsi" w:hAnsiTheme="minorHAnsi" w:cstheme="minorHAnsi"/>
          <w:sz w:val="22"/>
          <w:szCs w:val="18"/>
          <w:lang w:val="en"/>
        </w:rPr>
        <w:t xml:space="preserve">were </w:t>
      </w:r>
      <w:r w:rsidR="00AC3C68">
        <w:rPr>
          <w:rFonts w:asciiTheme="minorHAnsi" w:hAnsiTheme="minorHAnsi" w:cstheme="minorHAnsi"/>
          <w:sz w:val="22"/>
          <w:szCs w:val="18"/>
          <w:lang w:val="en"/>
        </w:rPr>
        <w:t>received for the total, substantial or partial demoliti</w:t>
      </w:r>
      <w:r>
        <w:rPr>
          <w:rFonts w:asciiTheme="minorHAnsi" w:hAnsiTheme="minorHAnsi" w:cstheme="minorHAnsi"/>
          <w:sz w:val="22"/>
          <w:szCs w:val="18"/>
          <w:lang w:val="en"/>
        </w:rPr>
        <w:t>on of a listed building. These</w:t>
      </w:r>
      <w:r w:rsidR="00AC3C68">
        <w:rPr>
          <w:rFonts w:asciiTheme="minorHAnsi" w:hAnsiTheme="minorHAnsi" w:cstheme="minorHAnsi"/>
          <w:sz w:val="22"/>
          <w:szCs w:val="18"/>
          <w:lang w:val="en"/>
        </w:rPr>
        <w:t xml:space="preserve"> applications are summarized in </w:t>
      </w:r>
      <w:r w:rsidR="008B306D">
        <w:rPr>
          <w:rFonts w:asciiTheme="minorHAnsi" w:hAnsiTheme="minorHAnsi" w:cstheme="minorHAnsi"/>
          <w:sz w:val="22"/>
          <w:szCs w:val="18"/>
          <w:lang w:val="en"/>
        </w:rPr>
        <w:t>Figure 28</w:t>
      </w:r>
      <w:r w:rsidR="00CA4B66">
        <w:rPr>
          <w:rFonts w:asciiTheme="minorHAnsi" w:hAnsiTheme="minorHAnsi" w:cstheme="minorHAnsi"/>
          <w:sz w:val="22"/>
          <w:szCs w:val="18"/>
          <w:lang w:val="en"/>
        </w:rPr>
        <w:t>.</w:t>
      </w:r>
      <w:r w:rsidR="00E67E83">
        <w:rPr>
          <w:rFonts w:asciiTheme="minorHAnsi" w:hAnsiTheme="minorHAnsi" w:cstheme="minorHAnsi"/>
          <w:sz w:val="22"/>
          <w:szCs w:val="18"/>
          <w:lang w:val="en"/>
        </w:rPr>
        <w:br/>
      </w:r>
    </w:p>
    <w:tbl>
      <w:tblPr>
        <w:tblStyle w:val="TableGrid"/>
        <w:tblW w:w="0" w:type="auto"/>
        <w:tblInd w:w="36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449"/>
        <w:gridCol w:w="1276"/>
        <w:gridCol w:w="2977"/>
        <w:gridCol w:w="1276"/>
        <w:gridCol w:w="1904"/>
      </w:tblGrid>
      <w:tr w:rsidR="008F25B3" w:rsidTr="00B43422">
        <w:tc>
          <w:tcPr>
            <w:tcW w:w="1449" w:type="dxa"/>
            <w:shd w:val="clear" w:color="auto" w:fill="D6E3BC" w:themeFill="accent3" w:themeFillTint="66"/>
          </w:tcPr>
          <w:p w:rsidR="008F25B3" w:rsidRPr="00935B9C" w:rsidRDefault="008F25B3" w:rsidP="0035034F">
            <w:pPr>
              <w:jc w:val="center"/>
              <w:rPr>
                <w:rFonts w:ascii="Calibri" w:eastAsia="Calibri" w:hAnsi="Calibri" w:cs="Times New Roman"/>
                <w:b/>
                <w:sz w:val="20"/>
                <w:szCs w:val="22"/>
              </w:rPr>
            </w:pPr>
            <w:r w:rsidRPr="00935B9C">
              <w:rPr>
                <w:rFonts w:ascii="Calibri" w:eastAsia="Calibri" w:hAnsi="Calibri" w:cs="Times New Roman"/>
                <w:b/>
                <w:sz w:val="20"/>
                <w:szCs w:val="22"/>
              </w:rPr>
              <w:lastRenderedPageBreak/>
              <w:t>Application Reference</w:t>
            </w:r>
          </w:p>
        </w:tc>
        <w:tc>
          <w:tcPr>
            <w:tcW w:w="1276" w:type="dxa"/>
            <w:shd w:val="clear" w:color="auto" w:fill="D6E3BC" w:themeFill="accent3" w:themeFillTint="66"/>
          </w:tcPr>
          <w:p w:rsidR="008F25B3" w:rsidRPr="00935B9C" w:rsidRDefault="008F25B3" w:rsidP="0035034F">
            <w:pPr>
              <w:jc w:val="center"/>
              <w:rPr>
                <w:rFonts w:ascii="Calibri" w:eastAsia="Calibri" w:hAnsi="Calibri" w:cs="Times New Roman"/>
                <w:b/>
                <w:sz w:val="20"/>
                <w:szCs w:val="22"/>
              </w:rPr>
            </w:pPr>
            <w:r w:rsidRPr="00935B9C">
              <w:rPr>
                <w:rFonts w:ascii="Calibri" w:eastAsia="Calibri" w:hAnsi="Calibri" w:cs="Times New Roman"/>
                <w:b/>
                <w:sz w:val="20"/>
                <w:szCs w:val="22"/>
              </w:rPr>
              <w:t>Address</w:t>
            </w:r>
          </w:p>
        </w:tc>
        <w:tc>
          <w:tcPr>
            <w:tcW w:w="2977" w:type="dxa"/>
            <w:shd w:val="clear" w:color="auto" w:fill="D6E3BC" w:themeFill="accent3" w:themeFillTint="66"/>
          </w:tcPr>
          <w:p w:rsidR="008F25B3" w:rsidRPr="00935B9C" w:rsidRDefault="008F25B3" w:rsidP="0035034F">
            <w:pPr>
              <w:jc w:val="center"/>
              <w:rPr>
                <w:rFonts w:ascii="Calibri" w:eastAsia="Calibri" w:hAnsi="Calibri" w:cs="Times New Roman"/>
                <w:b/>
                <w:sz w:val="20"/>
                <w:szCs w:val="22"/>
              </w:rPr>
            </w:pPr>
            <w:r w:rsidRPr="00240CC7">
              <w:rPr>
                <w:rFonts w:ascii="Calibri" w:eastAsia="Calibri" w:hAnsi="Calibri" w:cs="Calibri"/>
                <w:b/>
                <w:noProof/>
                <w:color w:val="000000"/>
                <w:sz w:val="32"/>
                <w:szCs w:val="32"/>
                <w:lang w:eastAsia="en-GB"/>
              </w:rPr>
              <mc:AlternateContent>
                <mc:Choice Requires="wps">
                  <w:drawing>
                    <wp:anchor distT="0" distB="0" distL="114300" distR="114300" simplePos="0" relativeHeight="251874304" behindDoc="0" locked="0" layoutInCell="1" allowOverlap="1" wp14:anchorId="47F44C95" wp14:editId="022ADD9A">
                      <wp:simplePos x="0" y="0"/>
                      <wp:positionH relativeFrom="column">
                        <wp:posOffset>1496060</wp:posOffset>
                      </wp:positionH>
                      <wp:positionV relativeFrom="paragraph">
                        <wp:posOffset>-536575</wp:posOffset>
                      </wp:positionV>
                      <wp:extent cx="2427605" cy="3524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6" o:spid="_x0000_s1076" type="#_x0000_t202" style="position:absolute;left:0;text-align:left;margin-left:117.8pt;margin-top:-42.25pt;width:191.15pt;height:27.7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" fillcolor="window" stroked="f" strokeweight=".5pt">
                      <v:textbo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Pr="00935B9C">
              <w:rPr>
                <w:rFonts w:ascii="Calibri" w:eastAsia="Calibri" w:hAnsi="Calibri" w:cs="Times New Roman"/>
                <w:b/>
                <w:sz w:val="20"/>
                <w:szCs w:val="22"/>
              </w:rPr>
              <w:t>Description</w:t>
            </w:r>
          </w:p>
        </w:tc>
        <w:tc>
          <w:tcPr>
            <w:tcW w:w="1276" w:type="dxa"/>
            <w:shd w:val="clear" w:color="auto" w:fill="D6E3BC" w:themeFill="accent3" w:themeFillTint="66"/>
          </w:tcPr>
          <w:p w:rsidR="008F25B3" w:rsidRPr="00935B9C" w:rsidRDefault="008F25B3" w:rsidP="0035034F">
            <w:pPr>
              <w:jc w:val="center"/>
              <w:rPr>
                <w:rFonts w:ascii="Calibri" w:eastAsia="Calibri" w:hAnsi="Calibri" w:cs="Times New Roman"/>
                <w:b/>
                <w:sz w:val="20"/>
                <w:szCs w:val="22"/>
              </w:rPr>
            </w:pPr>
            <w:r w:rsidRPr="00935B9C">
              <w:rPr>
                <w:rFonts w:ascii="Calibri" w:eastAsia="Calibri" w:hAnsi="Calibri" w:cs="Times New Roman"/>
                <w:b/>
                <w:sz w:val="20"/>
                <w:szCs w:val="22"/>
              </w:rPr>
              <w:t>Decision</w:t>
            </w:r>
          </w:p>
        </w:tc>
        <w:tc>
          <w:tcPr>
            <w:tcW w:w="1904" w:type="dxa"/>
            <w:shd w:val="clear" w:color="auto" w:fill="D6E3BC" w:themeFill="accent3" w:themeFillTint="66"/>
          </w:tcPr>
          <w:p w:rsidR="008F25B3" w:rsidRPr="00FC3DAB" w:rsidRDefault="008F25B3" w:rsidP="00240CC7">
            <w:pPr>
              <w:jc w:val="center"/>
              <w:rPr>
                <w:rFonts w:ascii="Calibri" w:eastAsia="Calibri" w:hAnsi="Calibri" w:cs="Times New Roman"/>
                <w:b/>
                <w:sz w:val="20"/>
                <w:szCs w:val="22"/>
              </w:rPr>
            </w:pPr>
            <w:r w:rsidRPr="00FC3DAB">
              <w:rPr>
                <w:rFonts w:ascii="Calibri" w:eastAsia="Calibri" w:hAnsi="Calibri" w:cs="Times New Roman"/>
                <w:b/>
                <w:sz w:val="20"/>
                <w:szCs w:val="22"/>
              </w:rPr>
              <w:t>Reason</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13/01011/LBD</w:t>
            </w:r>
          </w:p>
        </w:tc>
        <w:tc>
          <w:tcPr>
            <w:tcW w:w="1276" w:type="dxa"/>
          </w:tcPr>
          <w:p w:rsidR="008F25B3" w:rsidRPr="003C5F0B" w:rsidRDefault="008F25B3" w:rsidP="0035034F">
            <w:pPr>
              <w:jc w:val="center"/>
              <w:rPr>
                <w:rFonts w:ascii="Calibri" w:eastAsia="Calibri" w:hAnsi="Calibri" w:cs="Times New Roman"/>
                <w:sz w:val="18"/>
                <w:szCs w:val="18"/>
              </w:rPr>
            </w:pPr>
            <w:proofErr w:type="spellStart"/>
            <w:r w:rsidRPr="003C5F0B">
              <w:rPr>
                <w:rFonts w:ascii="Calibri" w:eastAsia="Calibri" w:hAnsi="Calibri" w:cs="Times New Roman"/>
                <w:sz w:val="18"/>
                <w:szCs w:val="18"/>
              </w:rPr>
              <w:t>Warneford</w:t>
            </w:r>
            <w:proofErr w:type="spellEnd"/>
            <w:r w:rsidRPr="003C5F0B">
              <w:rPr>
                <w:rFonts w:ascii="Calibri" w:eastAsia="Calibri" w:hAnsi="Calibri" w:cs="Times New Roman"/>
                <w:sz w:val="18"/>
                <w:szCs w:val="18"/>
              </w:rPr>
              <w:t xml:space="preserve"> Hospital</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Refurbishment of High Dependence Lounge and Treatment Room. Separation of Clinic Room and Treatment Room with addition of new doorway of the main corridor for access.</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WITHDRAWN</w:t>
            </w:r>
          </w:p>
        </w:tc>
        <w:tc>
          <w:tcPr>
            <w:tcW w:w="1904" w:type="dxa"/>
            <w:shd w:val="clear" w:color="auto" w:fill="auto"/>
          </w:tcPr>
          <w:p w:rsidR="008F25B3" w:rsidRPr="00BF7161" w:rsidRDefault="008F25B3" w:rsidP="00240CC7">
            <w:pPr>
              <w:jc w:val="center"/>
              <w:rPr>
                <w:rFonts w:ascii="Calibri" w:eastAsia="Calibri" w:hAnsi="Calibri" w:cs="Times New Roman"/>
                <w:sz w:val="18"/>
                <w:szCs w:val="18"/>
              </w:rPr>
            </w:pPr>
            <w:r w:rsidRPr="00BF7161">
              <w:rPr>
                <w:rFonts w:ascii="Calibri" w:eastAsia="Calibri" w:hAnsi="Calibri" w:cs="Times New Roman"/>
                <w:sz w:val="18"/>
                <w:szCs w:val="18"/>
              </w:rPr>
              <w:t>N/A</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13/01012/LBD</w:t>
            </w:r>
          </w:p>
        </w:tc>
        <w:tc>
          <w:tcPr>
            <w:tcW w:w="1276" w:type="dxa"/>
          </w:tcPr>
          <w:p w:rsidR="008F25B3" w:rsidRPr="003C5F0B" w:rsidRDefault="008F25B3" w:rsidP="0035034F">
            <w:pPr>
              <w:jc w:val="center"/>
              <w:rPr>
                <w:rFonts w:ascii="Calibri" w:eastAsia="Calibri" w:hAnsi="Calibri" w:cs="Times New Roman"/>
                <w:sz w:val="18"/>
                <w:szCs w:val="18"/>
              </w:rPr>
            </w:pPr>
            <w:proofErr w:type="spellStart"/>
            <w:r w:rsidRPr="003C5F0B">
              <w:rPr>
                <w:rFonts w:ascii="Calibri" w:eastAsia="Calibri" w:hAnsi="Calibri" w:cs="Times New Roman"/>
                <w:sz w:val="18"/>
                <w:szCs w:val="18"/>
              </w:rPr>
              <w:t>Freuds</w:t>
            </w:r>
            <w:proofErr w:type="spellEnd"/>
            <w:r w:rsidRPr="003C5F0B">
              <w:rPr>
                <w:rFonts w:ascii="Calibri" w:eastAsia="Calibri" w:hAnsi="Calibri" w:cs="Times New Roman"/>
                <w:sz w:val="18"/>
                <w:szCs w:val="18"/>
              </w:rPr>
              <w:t xml:space="preserve"> Café</w:t>
            </w:r>
          </w:p>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Walton Street</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The demolition and reconstruction of the boundary wall with 119 Walton Street (Freud's Cafe) and Plot L of the Radcliffe Observatory Quarter.</w:t>
            </w:r>
          </w:p>
        </w:tc>
        <w:tc>
          <w:tcPr>
            <w:tcW w:w="1276" w:type="dxa"/>
          </w:tcPr>
          <w:p w:rsidR="008F25B3"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p w:rsidR="008F25B3" w:rsidRPr="008F25B3" w:rsidRDefault="008F25B3" w:rsidP="008F25B3">
            <w:pPr>
              <w:rPr>
                <w:rFonts w:ascii="Calibri" w:eastAsia="Calibri" w:hAnsi="Calibri" w:cs="Times New Roman"/>
                <w:sz w:val="18"/>
                <w:szCs w:val="18"/>
              </w:rPr>
            </w:pPr>
          </w:p>
        </w:tc>
        <w:tc>
          <w:tcPr>
            <w:tcW w:w="1904" w:type="dxa"/>
            <w:shd w:val="clear" w:color="auto" w:fill="auto"/>
          </w:tcPr>
          <w:p w:rsidR="008F25B3" w:rsidRPr="00FC3DAB" w:rsidRDefault="008F25B3" w:rsidP="008F25B3">
            <w:pPr>
              <w:rPr>
                <w:rFonts w:ascii="Calibri" w:eastAsia="Calibri" w:hAnsi="Calibri" w:cs="Times New Roman"/>
                <w:sz w:val="18"/>
                <w:szCs w:val="18"/>
              </w:rPr>
            </w:pPr>
            <w:r w:rsidRPr="00FC3DAB">
              <w:rPr>
                <w:rFonts w:ascii="Calibri" w:eastAsia="Calibri" w:hAnsi="Calibri" w:cs="Times New Roman"/>
                <w:sz w:val="18"/>
                <w:szCs w:val="18"/>
              </w:rPr>
              <w:t xml:space="preserve">The proposal accords with the special character, setting, and features of the listed building. </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13/01075/LBD</w:t>
            </w:r>
          </w:p>
        </w:tc>
        <w:tc>
          <w:tcPr>
            <w:tcW w:w="1276"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Former Ruskin College Site</w:t>
            </w:r>
            <w:r>
              <w:rPr>
                <w:rFonts w:ascii="Calibri" w:eastAsia="Calibri" w:hAnsi="Calibri" w:cs="Times New Roman"/>
                <w:sz w:val="18"/>
                <w:szCs w:val="18"/>
              </w:rPr>
              <w:t>,</w:t>
            </w:r>
          </w:p>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Walton Street</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 xml:space="preserve">External alterations including demolition of south and west facades of 1913 building, demolition of 1930's, 1960's and 1980's extensions, and removal of existing roof.  Erection of four storey extension to rear to provide 90 student study rooms, 3 Fellows/Staff residential rooms, teaching/lecture facilities, library archive and social space. Erection of replacement roof. </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sz w:val="18"/>
                <w:szCs w:val="18"/>
              </w:rPr>
            </w:pPr>
            <w:r w:rsidRPr="00FC3DAB">
              <w:rPr>
                <w:rFonts w:ascii="Calibri" w:eastAsia="Calibri" w:hAnsi="Calibri" w:cs="Times New Roman"/>
                <w:sz w:val="18"/>
                <w:szCs w:val="18"/>
              </w:rPr>
              <w:t>The proposal accords with the special character, setting, and features of the listed building.</w:t>
            </w:r>
            <w:r>
              <w:rPr>
                <w:rFonts w:ascii="Calibri" w:eastAsia="Calibri" w:hAnsi="Calibri" w:cs="Times New Roman"/>
                <w:sz w:val="18"/>
                <w:szCs w:val="18"/>
              </w:rPr>
              <w:t xml:space="preserve"> </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13/01191/LBD</w:t>
            </w:r>
          </w:p>
        </w:tc>
        <w:tc>
          <w:tcPr>
            <w:tcW w:w="1276"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37 St John Street</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Demolition of existing rear garden extension.  Erection of two storey rear extension and new chimney stack to rear, erection of new garden store and alterations to north and west boundary walls.</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13/01333/LBD</w:t>
            </w:r>
          </w:p>
        </w:tc>
        <w:tc>
          <w:tcPr>
            <w:tcW w:w="1276"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 xml:space="preserve">7 </w:t>
            </w:r>
            <w:proofErr w:type="spellStart"/>
            <w:r w:rsidRPr="003C5F0B">
              <w:rPr>
                <w:rFonts w:ascii="Calibri" w:eastAsia="Calibri" w:hAnsi="Calibri" w:cs="Times New Roman"/>
                <w:sz w:val="18"/>
                <w:szCs w:val="18"/>
              </w:rPr>
              <w:t>Norham</w:t>
            </w:r>
            <w:proofErr w:type="spellEnd"/>
            <w:r w:rsidRPr="003C5F0B">
              <w:rPr>
                <w:rFonts w:ascii="Calibri" w:eastAsia="Calibri" w:hAnsi="Calibri" w:cs="Times New Roman"/>
                <w:sz w:val="18"/>
                <w:szCs w:val="18"/>
              </w:rPr>
              <w:t xml:space="preserve"> Gardens</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 xml:space="preserve">Demolition of existing conservatory, toilet block and garage.  Erection of two storey extension (including increase in ridge height), porch and conservatory, new garage and garden studio.  </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sz w:val="18"/>
                <w:szCs w:val="18"/>
              </w:rPr>
            </w:pPr>
            <w:r w:rsidRPr="00FC3DAB">
              <w:rPr>
                <w:rFonts w:ascii="Calibri" w:eastAsia="Calibri" w:hAnsi="Calibri" w:cs="Times New Roman"/>
                <w:sz w:val="18"/>
                <w:szCs w:val="18"/>
              </w:rPr>
              <w:t>The proposal accords with</w:t>
            </w:r>
            <w:r>
              <w:rPr>
                <w:rFonts w:ascii="Calibri" w:eastAsia="Calibri" w:hAnsi="Calibri" w:cs="Times New Roman"/>
                <w:sz w:val="18"/>
                <w:szCs w:val="18"/>
              </w:rPr>
              <w:t xml:space="preserve"> the local development plan and national advice on managing the historic environment.</w:t>
            </w:r>
          </w:p>
        </w:tc>
      </w:tr>
      <w:tr w:rsidR="008F25B3" w:rsidTr="008F25B3">
        <w:tc>
          <w:tcPr>
            <w:tcW w:w="1449"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13/01425/LBD</w:t>
            </w:r>
          </w:p>
        </w:tc>
        <w:tc>
          <w:tcPr>
            <w:tcW w:w="1276" w:type="dxa"/>
          </w:tcPr>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Worcester College</w:t>
            </w:r>
            <w:r>
              <w:rPr>
                <w:rFonts w:ascii="Calibri" w:eastAsia="Calibri" w:hAnsi="Calibri" w:cs="Times New Roman"/>
                <w:sz w:val="18"/>
                <w:szCs w:val="18"/>
              </w:rPr>
              <w:t>,</w:t>
            </w:r>
          </w:p>
          <w:p w:rsidR="008F25B3" w:rsidRPr="003C5F0B" w:rsidRDefault="008F25B3" w:rsidP="0035034F">
            <w:pPr>
              <w:jc w:val="center"/>
              <w:rPr>
                <w:rFonts w:ascii="Calibri" w:eastAsia="Calibri" w:hAnsi="Calibri" w:cs="Times New Roman"/>
                <w:sz w:val="18"/>
                <w:szCs w:val="18"/>
              </w:rPr>
            </w:pPr>
            <w:r w:rsidRPr="003C5F0B">
              <w:rPr>
                <w:rFonts w:ascii="Calibri" w:eastAsia="Calibri" w:hAnsi="Calibri" w:cs="Times New Roman"/>
                <w:sz w:val="18"/>
                <w:szCs w:val="18"/>
              </w:rPr>
              <w:t>Walton Street</w:t>
            </w:r>
          </w:p>
        </w:tc>
        <w:tc>
          <w:tcPr>
            <w:tcW w:w="2977" w:type="dxa"/>
          </w:tcPr>
          <w:p w:rsidR="008F25B3" w:rsidRPr="003C5F0B" w:rsidRDefault="008F25B3" w:rsidP="0035034F">
            <w:pPr>
              <w:rPr>
                <w:rFonts w:ascii="Calibri" w:eastAsia="Calibri" w:hAnsi="Calibri" w:cs="Times New Roman"/>
                <w:sz w:val="18"/>
                <w:szCs w:val="18"/>
              </w:rPr>
            </w:pPr>
            <w:r w:rsidRPr="003C5F0B">
              <w:rPr>
                <w:rFonts w:ascii="Calibri" w:eastAsia="Calibri" w:hAnsi="Calibri" w:cs="Times New Roman"/>
                <w:sz w:val="18"/>
                <w:szCs w:val="18"/>
              </w:rPr>
              <w:t>Erection of building between Nuffield building and kitchen, to provide kitchen ancillary uses and plant room. Various demolitions including changing/store building, stores/extension to Nuffield building, fire escape, steps, platform, windows to form new openings, walls to kitchen; walls</w:t>
            </w:r>
            <w:r>
              <w:rPr>
                <w:rFonts w:ascii="Calibri" w:eastAsia="Calibri" w:hAnsi="Calibri" w:cs="Times New Roman"/>
                <w:sz w:val="18"/>
                <w:szCs w:val="18"/>
              </w:rPr>
              <w:t>, floor, ceiling and finishes.</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r w:rsidR="008F25B3" w:rsidTr="008F25B3">
        <w:trPr>
          <w:trHeight w:val="70"/>
        </w:trPr>
        <w:tc>
          <w:tcPr>
            <w:tcW w:w="1449"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13/01801/LBD</w:t>
            </w:r>
          </w:p>
        </w:tc>
        <w:tc>
          <w:tcPr>
            <w:tcW w:w="1276"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St Cross College</w:t>
            </w:r>
          </w:p>
        </w:tc>
        <w:tc>
          <w:tcPr>
            <w:tcW w:w="2977" w:type="dxa"/>
          </w:tcPr>
          <w:p w:rsidR="008F25B3" w:rsidRPr="003C5F0B" w:rsidRDefault="008F25B3" w:rsidP="0035034F">
            <w:pPr>
              <w:rPr>
                <w:rFonts w:ascii="Calibri" w:eastAsia="Calibri" w:hAnsi="Calibri" w:cs="Times New Roman"/>
                <w:sz w:val="18"/>
                <w:szCs w:val="18"/>
              </w:rPr>
            </w:pPr>
            <w:r w:rsidRPr="007C258A">
              <w:rPr>
                <w:rFonts w:ascii="Calibri" w:eastAsia="Calibri" w:hAnsi="Calibri" w:cs="Times New Roman"/>
                <w:sz w:val="18"/>
                <w:szCs w:val="18"/>
              </w:rPr>
              <w:t>Demolition and rebuilding of existing boundary walls.</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REFUSED</w:t>
            </w:r>
          </w:p>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ALLOWED AT</w:t>
            </w:r>
          </w:p>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 xml:space="preserve">APPEAL </w:t>
            </w:r>
          </w:p>
        </w:tc>
        <w:tc>
          <w:tcPr>
            <w:tcW w:w="1904" w:type="dxa"/>
            <w:shd w:val="clear" w:color="auto" w:fill="auto"/>
          </w:tcPr>
          <w:p w:rsidR="008F25B3" w:rsidRPr="00FC3DAB" w:rsidRDefault="00FC3DAB" w:rsidP="00BF7161">
            <w:pPr>
              <w:rPr>
                <w:rFonts w:ascii="Calibri" w:eastAsia="Calibri" w:hAnsi="Calibri" w:cs="Times New Roman"/>
                <w:sz w:val="18"/>
                <w:szCs w:val="18"/>
              </w:rPr>
            </w:pPr>
            <w:r w:rsidRPr="00FC3DAB">
              <w:rPr>
                <w:rFonts w:ascii="Calibri" w:eastAsia="Calibri" w:hAnsi="Calibri" w:cs="Times New Roman"/>
                <w:sz w:val="18"/>
                <w:szCs w:val="18"/>
              </w:rPr>
              <w:t xml:space="preserve">The Inspector considered that </w:t>
            </w:r>
            <w:r>
              <w:rPr>
                <w:rFonts w:ascii="Calibri" w:eastAsia="Calibri" w:hAnsi="Calibri" w:cs="Times New Roman"/>
                <w:sz w:val="18"/>
                <w:szCs w:val="18"/>
              </w:rPr>
              <w:t xml:space="preserve">the application </w:t>
            </w:r>
            <w:r w:rsidR="00BF7161">
              <w:rPr>
                <w:rFonts w:ascii="Calibri" w:eastAsia="Calibri" w:hAnsi="Calibri" w:cs="Times New Roman"/>
                <w:sz w:val="18"/>
                <w:szCs w:val="18"/>
              </w:rPr>
              <w:t>had considera</w:t>
            </w:r>
            <w:r w:rsidR="00DB0858">
              <w:rPr>
                <w:rFonts w:ascii="Calibri" w:eastAsia="Calibri" w:hAnsi="Calibri" w:cs="Times New Roman"/>
                <w:sz w:val="18"/>
                <w:szCs w:val="18"/>
              </w:rPr>
              <w:t>ble merit and accords with the Local Development P</w:t>
            </w:r>
            <w:r w:rsidR="00BF7161">
              <w:rPr>
                <w:rFonts w:ascii="Calibri" w:eastAsia="Calibri" w:hAnsi="Calibri" w:cs="Times New Roman"/>
                <w:sz w:val="18"/>
                <w:szCs w:val="18"/>
              </w:rPr>
              <w:t>lan.</w:t>
            </w:r>
          </w:p>
        </w:tc>
      </w:tr>
      <w:tr w:rsidR="008F25B3" w:rsidTr="008F25B3">
        <w:trPr>
          <w:trHeight w:val="70"/>
        </w:trPr>
        <w:tc>
          <w:tcPr>
            <w:tcW w:w="1449"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13/02051/LBD</w:t>
            </w:r>
          </w:p>
        </w:tc>
        <w:tc>
          <w:tcPr>
            <w:tcW w:w="1276" w:type="dxa"/>
          </w:tcPr>
          <w:p w:rsidR="008F25B3" w:rsidRPr="003C5F0B" w:rsidRDefault="008F25B3" w:rsidP="0035034F">
            <w:pPr>
              <w:jc w:val="center"/>
              <w:rPr>
                <w:rFonts w:ascii="Calibri" w:eastAsia="Calibri" w:hAnsi="Calibri" w:cs="Times New Roman"/>
                <w:sz w:val="18"/>
                <w:szCs w:val="18"/>
              </w:rPr>
            </w:pPr>
            <w:proofErr w:type="spellStart"/>
            <w:r>
              <w:rPr>
                <w:rFonts w:ascii="Calibri" w:eastAsia="Calibri" w:hAnsi="Calibri" w:cs="Times New Roman"/>
                <w:sz w:val="18"/>
                <w:szCs w:val="18"/>
              </w:rPr>
              <w:t>Warneford</w:t>
            </w:r>
            <w:proofErr w:type="spellEnd"/>
            <w:r>
              <w:rPr>
                <w:rFonts w:ascii="Calibri" w:eastAsia="Calibri" w:hAnsi="Calibri" w:cs="Times New Roman"/>
                <w:sz w:val="18"/>
                <w:szCs w:val="18"/>
              </w:rPr>
              <w:t xml:space="preserve"> Hospital</w:t>
            </w:r>
          </w:p>
        </w:tc>
        <w:tc>
          <w:tcPr>
            <w:tcW w:w="2977" w:type="dxa"/>
          </w:tcPr>
          <w:p w:rsidR="008F25B3" w:rsidRPr="003C5F0B" w:rsidRDefault="008F25B3" w:rsidP="0035034F">
            <w:pPr>
              <w:rPr>
                <w:rFonts w:ascii="Calibri" w:eastAsia="Calibri" w:hAnsi="Calibri" w:cs="Times New Roman"/>
                <w:sz w:val="18"/>
                <w:szCs w:val="18"/>
              </w:rPr>
            </w:pPr>
            <w:r w:rsidRPr="007C258A">
              <w:rPr>
                <w:rFonts w:ascii="Calibri" w:eastAsia="Calibri" w:hAnsi="Calibri" w:cs="Times New Roman"/>
                <w:sz w:val="18"/>
                <w:szCs w:val="18"/>
              </w:rPr>
              <w:t>Alterations including removal and reconstruction of existing single storey extension of High Dependency Lounge and Treatment Room. Installation of metal framed glazing and separation of Clinic Room and Treatment Room with addition of new doorway of the main corridor for access.</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r w:rsidR="008F25B3" w:rsidTr="008F25B3">
        <w:trPr>
          <w:trHeight w:val="70"/>
        </w:trPr>
        <w:tc>
          <w:tcPr>
            <w:tcW w:w="1449"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lastRenderedPageBreak/>
              <w:t>13/02961/LBD</w:t>
            </w:r>
          </w:p>
        </w:tc>
        <w:tc>
          <w:tcPr>
            <w:tcW w:w="1276" w:type="dxa"/>
          </w:tcPr>
          <w:p w:rsidR="008F25B3"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Former Radcliffe Infirmary,</w:t>
            </w:r>
          </w:p>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Woodstock Road</w:t>
            </w:r>
          </w:p>
        </w:tc>
        <w:tc>
          <w:tcPr>
            <w:tcW w:w="2977" w:type="dxa"/>
          </w:tcPr>
          <w:p w:rsidR="008F25B3" w:rsidRPr="003C5F0B" w:rsidRDefault="00F6595A" w:rsidP="0035034F">
            <w:pPr>
              <w:rPr>
                <w:rFonts w:ascii="Calibri" w:eastAsia="Calibri" w:hAnsi="Calibri" w:cs="Times New Roman"/>
                <w:sz w:val="18"/>
                <w:szCs w:val="18"/>
              </w:rPr>
            </w:pPr>
            <w:r w:rsidRPr="00483A60">
              <w:rPr>
                <w:rFonts w:ascii="Calibri" w:eastAsia="Calibri" w:hAnsi="Calibri" w:cs="Calibri"/>
                <w:b/>
                <w:noProof/>
                <w:color w:val="000000"/>
                <w:sz w:val="32"/>
                <w:szCs w:val="32"/>
                <w:lang w:eastAsia="en-GB"/>
              </w:rPr>
              <mc:AlternateContent>
                <mc:Choice Requires="wps">
                  <w:drawing>
                    <wp:anchor distT="0" distB="0" distL="114300" distR="114300" simplePos="0" relativeHeight="251872256" behindDoc="0" locked="0" layoutInCell="1" allowOverlap="1" wp14:anchorId="41841EE2" wp14:editId="04A197F4">
                      <wp:simplePos x="0" y="0"/>
                      <wp:positionH relativeFrom="column">
                        <wp:posOffset>1483360</wp:posOffset>
                      </wp:positionH>
                      <wp:positionV relativeFrom="paragraph">
                        <wp:posOffset>-510540</wp:posOffset>
                      </wp:positionV>
                      <wp:extent cx="2427605" cy="3524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77" type="#_x0000_t202" style="position:absolute;margin-left:116.8pt;margin-top:-40.2pt;width:191.15pt;height:27.7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3fUgIAAKI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" fillcolor="window" stroked="f" strokeweight=".5pt">
                      <v:textbo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8F25B3" w:rsidRPr="007C258A">
              <w:rPr>
                <w:rFonts w:ascii="Calibri" w:eastAsia="Calibri" w:hAnsi="Calibri" w:cs="Times New Roman"/>
                <w:sz w:val="18"/>
                <w:szCs w:val="18"/>
              </w:rPr>
              <w:t>Demolition of single storey range between wings of Outpatients Building, including original stairs and internal partitions.  Erection of new 3 storey extension between wings and 3 storey south-west extension, insertion of new partitions, stairs and lift, insertion of mezzanine level and changes to approved roof profile</w:t>
            </w:r>
            <w:r w:rsidR="008F25B3">
              <w:rPr>
                <w:rFonts w:ascii="Calibri" w:eastAsia="Calibri" w:hAnsi="Calibri" w:cs="Times New Roman"/>
                <w:sz w:val="18"/>
                <w:szCs w:val="18"/>
              </w:rPr>
              <w:t>.</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r w:rsidR="008F25B3" w:rsidTr="008F25B3">
        <w:trPr>
          <w:trHeight w:val="70"/>
        </w:trPr>
        <w:tc>
          <w:tcPr>
            <w:tcW w:w="1449"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14/00590/LBD</w:t>
            </w:r>
          </w:p>
        </w:tc>
        <w:tc>
          <w:tcPr>
            <w:tcW w:w="1276"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124 Kingston Road</w:t>
            </w:r>
          </w:p>
        </w:tc>
        <w:tc>
          <w:tcPr>
            <w:tcW w:w="2977" w:type="dxa"/>
          </w:tcPr>
          <w:p w:rsidR="008F25B3" w:rsidRPr="003C5F0B" w:rsidRDefault="008F25B3" w:rsidP="0035034F">
            <w:pPr>
              <w:rPr>
                <w:rFonts w:ascii="Calibri" w:eastAsia="Calibri" w:hAnsi="Calibri" w:cs="Times New Roman"/>
                <w:sz w:val="18"/>
                <w:szCs w:val="18"/>
              </w:rPr>
            </w:pPr>
            <w:r w:rsidRPr="007C258A">
              <w:rPr>
                <w:rFonts w:ascii="Calibri" w:eastAsia="Calibri" w:hAnsi="Calibri" w:cs="Times New Roman"/>
                <w:sz w:val="18"/>
                <w:szCs w:val="18"/>
              </w:rPr>
              <w:t>Extensions and alterations including removal of rear conservatory and erection of single storey rear extension.</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r w:rsidR="008F25B3" w:rsidTr="008F25B3">
        <w:trPr>
          <w:trHeight w:val="70"/>
        </w:trPr>
        <w:tc>
          <w:tcPr>
            <w:tcW w:w="1449"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14/00829/LBD</w:t>
            </w:r>
          </w:p>
        </w:tc>
        <w:tc>
          <w:tcPr>
            <w:tcW w:w="1276" w:type="dxa"/>
          </w:tcPr>
          <w:p w:rsidR="008F25B3" w:rsidRPr="003C5F0B" w:rsidRDefault="008F25B3" w:rsidP="0035034F">
            <w:pPr>
              <w:jc w:val="center"/>
              <w:rPr>
                <w:rFonts w:ascii="Calibri" w:eastAsia="Calibri" w:hAnsi="Calibri" w:cs="Times New Roman"/>
                <w:sz w:val="18"/>
                <w:szCs w:val="18"/>
              </w:rPr>
            </w:pPr>
            <w:r>
              <w:rPr>
                <w:rFonts w:ascii="Calibri" w:eastAsia="Calibri" w:hAnsi="Calibri" w:cs="Times New Roman"/>
                <w:sz w:val="18"/>
                <w:szCs w:val="18"/>
              </w:rPr>
              <w:t xml:space="preserve">Lawn Upton House, </w:t>
            </w:r>
            <w:proofErr w:type="spellStart"/>
            <w:r>
              <w:rPr>
                <w:rFonts w:ascii="Calibri" w:eastAsia="Calibri" w:hAnsi="Calibri" w:cs="Times New Roman"/>
                <w:sz w:val="18"/>
                <w:szCs w:val="18"/>
              </w:rPr>
              <w:t>Sandford</w:t>
            </w:r>
            <w:proofErr w:type="spellEnd"/>
            <w:r>
              <w:rPr>
                <w:rFonts w:ascii="Calibri" w:eastAsia="Calibri" w:hAnsi="Calibri" w:cs="Times New Roman"/>
                <w:sz w:val="18"/>
                <w:szCs w:val="18"/>
              </w:rPr>
              <w:t xml:space="preserve"> Road</w:t>
            </w:r>
          </w:p>
        </w:tc>
        <w:tc>
          <w:tcPr>
            <w:tcW w:w="2977" w:type="dxa"/>
          </w:tcPr>
          <w:p w:rsidR="008F25B3" w:rsidRPr="003C5F0B" w:rsidRDefault="008F25B3" w:rsidP="0035034F">
            <w:pPr>
              <w:rPr>
                <w:rFonts w:ascii="Calibri" w:eastAsia="Calibri" w:hAnsi="Calibri" w:cs="Times New Roman"/>
                <w:sz w:val="18"/>
                <w:szCs w:val="18"/>
              </w:rPr>
            </w:pPr>
            <w:r w:rsidRPr="007C258A">
              <w:rPr>
                <w:rFonts w:ascii="Calibri" w:eastAsia="Calibri" w:hAnsi="Calibri" w:cs="Times New Roman"/>
                <w:sz w:val="18"/>
                <w:szCs w:val="18"/>
              </w:rPr>
              <w:t>Demolition of existing garden building (for erection of new single storey dwelling).</w:t>
            </w:r>
          </w:p>
        </w:tc>
        <w:tc>
          <w:tcPr>
            <w:tcW w:w="1276" w:type="dxa"/>
          </w:tcPr>
          <w:p w:rsidR="008F25B3" w:rsidRPr="00240CC7" w:rsidRDefault="008F25B3" w:rsidP="0035034F">
            <w:pPr>
              <w:jc w:val="center"/>
              <w:rPr>
                <w:rFonts w:ascii="Calibri" w:eastAsia="Calibri" w:hAnsi="Calibri" w:cs="Times New Roman"/>
                <w:b/>
                <w:color w:val="4F6228" w:themeColor="accent3" w:themeShade="80"/>
                <w:sz w:val="18"/>
                <w:szCs w:val="18"/>
              </w:rPr>
            </w:pPr>
            <w:r w:rsidRPr="00240CC7">
              <w:rPr>
                <w:rFonts w:ascii="Calibri" w:eastAsia="Calibri" w:hAnsi="Calibri" w:cs="Times New Roman"/>
                <w:b/>
                <w:color w:val="4F6228" w:themeColor="accent3" w:themeShade="80"/>
                <w:sz w:val="18"/>
                <w:szCs w:val="18"/>
              </w:rPr>
              <w:t>APPROVED</w:t>
            </w:r>
          </w:p>
        </w:tc>
        <w:tc>
          <w:tcPr>
            <w:tcW w:w="1904" w:type="dxa"/>
            <w:shd w:val="clear" w:color="auto" w:fill="auto"/>
          </w:tcPr>
          <w:p w:rsidR="008F25B3" w:rsidRPr="00FC3DAB" w:rsidRDefault="00FC3DAB" w:rsidP="00FC3DAB">
            <w:pPr>
              <w:rPr>
                <w:rFonts w:ascii="Calibri" w:eastAsia="Calibri" w:hAnsi="Calibri" w:cs="Times New Roman"/>
                <w:b/>
                <w:sz w:val="18"/>
                <w:szCs w:val="18"/>
              </w:rPr>
            </w:pPr>
            <w:r w:rsidRPr="00FC3DAB">
              <w:rPr>
                <w:rFonts w:ascii="Calibri" w:eastAsia="Calibri" w:hAnsi="Calibri" w:cs="Times New Roman"/>
                <w:sz w:val="18"/>
                <w:szCs w:val="18"/>
              </w:rPr>
              <w:t>The proposal accords with the special character, setting, and features of the listed building.</w:t>
            </w:r>
          </w:p>
        </w:tc>
      </w:tr>
    </w:tbl>
    <w:p w:rsidR="008F25B3" w:rsidRPr="008F25B3" w:rsidRDefault="008F25B3" w:rsidP="008F25B3">
      <w:pPr>
        <w:jc w:val="center"/>
        <w:rPr>
          <w:rFonts w:ascii="Calibri" w:eastAsia="Calibri" w:hAnsi="Calibri" w:cs="Times New Roman"/>
          <w:b/>
          <w:sz w:val="4"/>
          <w:szCs w:val="4"/>
        </w:rPr>
      </w:pPr>
      <w:r>
        <w:rPr>
          <w:rFonts w:ascii="Calibri" w:eastAsia="Calibri" w:hAnsi="Calibri" w:cs="Times New Roman"/>
          <w:b/>
          <w:sz w:val="4"/>
          <w:szCs w:val="4"/>
        </w:rPr>
        <w:t>.</w:t>
      </w:r>
    </w:p>
    <w:p w:rsidR="008F25B3" w:rsidRDefault="008B306D" w:rsidP="00BF7161">
      <w:pPr>
        <w:jc w:val="center"/>
        <w:rPr>
          <w:rFonts w:ascii="Calibri" w:eastAsia="Calibri" w:hAnsi="Calibri" w:cs="Times New Roman"/>
          <w:b/>
          <w:sz w:val="20"/>
        </w:rPr>
      </w:pPr>
      <w:r>
        <w:rPr>
          <w:rFonts w:ascii="Calibri" w:eastAsia="Calibri" w:hAnsi="Calibri" w:cs="Times New Roman"/>
          <w:b/>
          <w:sz w:val="20"/>
          <w:szCs w:val="22"/>
        </w:rPr>
        <w:t>Figure 28</w:t>
      </w:r>
      <w:r w:rsidR="008F25B3">
        <w:rPr>
          <w:rFonts w:ascii="Calibri" w:eastAsia="Calibri" w:hAnsi="Calibri" w:cs="Times New Roman"/>
          <w:b/>
          <w:sz w:val="20"/>
          <w:szCs w:val="22"/>
        </w:rPr>
        <w:t>:</w:t>
      </w:r>
      <w:r w:rsidR="008F25B3">
        <w:rPr>
          <w:rFonts w:ascii="Calibri" w:eastAsia="Calibri" w:hAnsi="Calibri" w:cs="Times New Roman"/>
          <w:sz w:val="20"/>
          <w:szCs w:val="22"/>
        </w:rPr>
        <w:t xml:space="preserve"> A</w:t>
      </w:r>
      <w:r w:rsidR="008F25B3" w:rsidRPr="00EF6B97">
        <w:rPr>
          <w:rFonts w:ascii="Calibri" w:eastAsia="Calibri" w:hAnsi="Calibri" w:cs="Times New Roman"/>
          <w:sz w:val="20"/>
          <w:szCs w:val="22"/>
        </w:rPr>
        <w:t>pplications involving the total, substantial or partial demolition of a listed building</w:t>
      </w:r>
      <w:r w:rsidR="008F25B3">
        <w:rPr>
          <w:rFonts w:ascii="Calibri" w:eastAsia="Calibri" w:hAnsi="Calibri" w:cs="Times New Roman"/>
          <w:sz w:val="20"/>
          <w:szCs w:val="22"/>
        </w:rPr>
        <w:t xml:space="preserve"> 2013/14</w:t>
      </w:r>
    </w:p>
    <w:p w:rsidR="00BF7161" w:rsidRPr="00BF7161" w:rsidRDefault="00BF7161" w:rsidP="00BF7161">
      <w:pPr>
        <w:jc w:val="center"/>
        <w:rPr>
          <w:rFonts w:ascii="Calibri" w:eastAsia="Calibri" w:hAnsi="Calibri" w:cs="Times New Roman"/>
          <w:b/>
          <w:sz w:val="20"/>
        </w:rPr>
      </w:pPr>
    </w:p>
    <w:p w:rsidR="00FD3E84" w:rsidRPr="00BF7161" w:rsidRDefault="008B306D"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Figure 28</w:t>
      </w:r>
      <w:r w:rsidR="00BF7161">
        <w:rPr>
          <w:rFonts w:ascii="Calibri" w:eastAsia="Calibri" w:hAnsi="Calibri" w:cs="Times New Roman"/>
          <w:sz w:val="22"/>
          <w:szCs w:val="22"/>
        </w:rPr>
        <w:t xml:space="preserve"> shows that 10 applications for the total, substantial or partial demolition of a listed building were granted listed building consent in 2013/14. Although this is in conflict with the target for this indicator, in the majority of cases it was considered that the proposals would not harm the special character, setting or features of the listed building. In each case the recommendations of English Heritage were taken to consideration. In one case listed building consent was refused, but planning permission was subsequently granted at appeal. In this case the Inspector had regard to the special qualities of the listed building. </w:t>
      </w:r>
    </w:p>
    <w:p w:rsidR="00FD3E84" w:rsidRDefault="00FD3E84" w:rsidP="00A31762">
      <w:pPr>
        <w:rPr>
          <w:color w:val="632423" w:themeColor="accent2" w:themeShade="80"/>
          <w:sz w:val="22"/>
          <w:szCs w:val="22"/>
        </w:rPr>
      </w:pPr>
    </w:p>
    <w:p w:rsidR="00D36778" w:rsidRPr="000B530E" w:rsidRDefault="00FD3E84" w:rsidP="00D36778">
      <w:pPr>
        <w:autoSpaceDE w:val="0"/>
        <w:autoSpaceDN w:val="0"/>
        <w:adjustRightInd w:val="0"/>
        <w:jc w:val="both"/>
        <w:rPr>
          <w:rFonts w:ascii="Calibri" w:eastAsia="Calibri" w:hAnsi="Calibri" w:cs="Calibri"/>
          <w:color w:val="3F4F21"/>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18656" behindDoc="1" locked="0" layoutInCell="1" allowOverlap="1" wp14:anchorId="464F1992" wp14:editId="6394DD23">
                <wp:simplePos x="0" y="0"/>
                <wp:positionH relativeFrom="column">
                  <wp:posOffset>-57150</wp:posOffset>
                </wp:positionH>
                <wp:positionV relativeFrom="paragraph">
                  <wp:posOffset>-66675</wp:posOffset>
                </wp:positionV>
                <wp:extent cx="5886450" cy="1981200"/>
                <wp:effectExtent l="0" t="0" r="0" b="0"/>
                <wp:wrapNone/>
                <wp:docPr id="171" name="Rectangle 171"/>
                <wp:cNvGraphicFramePr/>
                <a:graphic xmlns:a="http://schemas.openxmlformats.org/drawingml/2006/main">
                  <a:graphicData uri="http://schemas.microsoft.com/office/word/2010/wordprocessingShape">
                    <wps:wsp>
                      <wps:cNvSpPr/>
                      <wps:spPr>
                        <a:xfrm>
                          <a:off x="0" y="0"/>
                          <a:ext cx="5886450" cy="1981200"/>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margin-left:-4.5pt;margin-top:-5.25pt;width:463.5pt;height:15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" fillcolor="#c2d69b [1942]" stroked="f" strokeweight="2pt"/>
            </w:pict>
          </mc:Fallback>
        </mc:AlternateContent>
      </w:r>
      <w:r w:rsidR="00D36778">
        <w:rPr>
          <w:rFonts w:ascii="Calibri" w:eastAsia="Calibri" w:hAnsi="Calibri" w:cs="Calibri"/>
          <w:b/>
          <w:color w:val="3F4F21"/>
        </w:rPr>
        <w:t>I</w:t>
      </w:r>
      <w:r w:rsidR="00D36778" w:rsidRPr="000B530E">
        <w:rPr>
          <w:rFonts w:ascii="Calibri" w:eastAsia="Calibri" w:hAnsi="Calibri" w:cs="Calibri"/>
          <w:b/>
          <w:color w:val="3F4F21"/>
        </w:rPr>
        <w:t>ndicator 2</w:t>
      </w:r>
      <w:r>
        <w:rPr>
          <w:rFonts w:ascii="Calibri" w:eastAsia="Calibri" w:hAnsi="Calibri" w:cs="Calibri"/>
          <w:b/>
          <w:color w:val="3F4F21"/>
        </w:rPr>
        <w:t>9</w:t>
      </w:r>
      <w:r w:rsidR="00D36778" w:rsidRPr="000B530E">
        <w:rPr>
          <w:rFonts w:ascii="Calibri" w:eastAsia="Calibri" w:hAnsi="Calibri" w:cs="Calibri"/>
          <w:b/>
          <w:color w:val="3F4F21"/>
        </w:rPr>
        <w:t xml:space="preserve">: </w:t>
      </w:r>
      <w:r w:rsidR="009C35B6" w:rsidRPr="009C35B6">
        <w:rPr>
          <w:rFonts w:ascii="Calibri" w:eastAsia="Calibri" w:hAnsi="Calibri" w:cs="Calibri"/>
          <w:b/>
          <w:color w:val="3F4F21"/>
        </w:rPr>
        <w:t>APPLICATIONS INVOLVING DEMOLITION OF A BUILDING THAT CONTRIBUTES TO THE CHARACTER AND APPEARANCE OF A CONSERVATION AREA</w:t>
      </w:r>
    </w:p>
    <w:p w:rsidR="00D36778" w:rsidRPr="000B530E" w:rsidRDefault="00D36778" w:rsidP="00D36778">
      <w:pPr>
        <w:autoSpaceDE w:val="0"/>
        <w:autoSpaceDN w:val="0"/>
        <w:adjustRightInd w:val="0"/>
        <w:jc w:val="both"/>
        <w:rPr>
          <w:rFonts w:ascii="Calibri" w:eastAsia="Calibri" w:hAnsi="Calibri" w:cs="Calibri"/>
          <w:b/>
          <w:color w:val="3F4F21"/>
          <w:sz w:val="10"/>
          <w:szCs w:val="22"/>
        </w:rPr>
      </w:pPr>
    </w:p>
    <w:p w:rsidR="00EC00D8" w:rsidRDefault="00D36778" w:rsidP="00EC00D8">
      <w:pPr>
        <w:autoSpaceDE w:val="0"/>
        <w:autoSpaceDN w:val="0"/>
        <w:adjustRightInd w:val="0"/>
        <w:jc w:val="both"/>
        <w:rPr>
          <w:rFonts w:ascii="Calibri" w:eastAsia="Calibri" w:hAnsi="Calibri" w:cs="Calibri"/>
          <w:color w:val="4F6228" w:themeColor="accent3" w:themeShade="80"/>
          <w:sz w:val="20"/>
          <w:szCs w:val="22"/>
        </w:rPr>
      </w:pPr>
      <w:r w:rsidRPr="000B530E">
        <w:rPr>
          <w:rFonts w:ascii="Calibri" w:eastAsia="Calibri" w:hAnsi="Calibri" w:cs="Calibri"/>
          <w:b/>
          <w:color w:val="3F4F21"/>
          <w:sz w:val="22"/>
          <w:szCs w:val="22"/>
        </w:rPr>
        <w:t xml:space="preserve">Target: </w:t>
      </w:r>
      <w:r w:rsidR="00047F78">
        <w:rPr>
          <w:rFonts w:ascii="Calibri" w:eastAsia="Calibri" w:hAnsi="Calibri" w:cs="Calibri"/>
          <w:b/>
          <w:color w:val="3F4F21"/>
          <w:sz w:val="22"/>
          <w:szCs w:val="22"/>
        </w:rPr>
        <w:t>0% conservation area c</w:t>
      </w:r>
      <w:r w:rsidR="00FD3E84" w:rsidRPr="009C35B6">
        <w:rPr>
          <w:rFonts w:ascii="Calibri" w:eastAsia="Calibri" w:hAnsi="Calibri" w:cs="Calibri"/>
          <w:b/>
          <w:color w:val="3F4F21"/>
          <w:sz w:val="22"/>
          <w:szCs w:val="22"/>
        </w:rPr>
        <w:t xml:space="preserve">onsents approved by the City Council contrary to officers’ and English Heritage’s recommendation </w:t>
      </w:r>
      <w:r w:rsidR="00A234AB">
        <w:rPr>
          <w:rFonts w:ascii="Calibri" w:eastAsia="Calibri" w:hAnsi="Calibri" w:cs="Calibri"/>
          <w:color w:val="4F6228" w:themeColor="accent3" w:themeShade="80"/>
          <w:sz w:val="20"/>
          <w:szCs w:val="22"/>
        </w:rPr>
        <w:t>(Oxford Core Strategy</w:t>
      </w:r>
      <w:r w:rsidR="00EC00D8" w:rsidRPr="00EC00D8">
        <w:rPr>
          <w:rFonts w:ascii="Calibri" w:eastAsia="Calibri" w:hAnsi="Calibri" w:cs="Calibri"/>
          <w:color w:val="4F6228" w:themeColor="accent3" w:themeShade="80"/>
          <w:sz w:val="20"/>
          <w:szCs w:val="22"/>
        </w:rPr>
        <w:t xml:space="preserve"> Policy CS</w:t>
      </w:r>
      <w:r w:rsidR="00EC00D8">
        <w:rPr>
          <w:rFonts w:ascii="Calibri" w:eastAsia="Calibri" w:hAnsi="Calibri" w:cs="Calibri"/>
          <w:color w:val="4F6228" w:themeColor="accent3" w:themeShade="80"/>
          <w:sz w:val="20"/>
          <w:szCs w:val="22"/>
        </w:rPr>
        <w:t>18</w:t>
      </w:r>
      <w:r w:rsidR="00EC00D8" w:rsidRPr="00EC00D8">
        <w:rPr>
          <w:rFonts w:ascii="Calibri" w:eastAsia="Calibri" w:hAnsi="Calibri" w:cs="Calibri"/>
          <w:color w:val="4F6228" w:themeColor="accent3" w:themeShade="80"/>
          <w:sz w:val="20"/>
          <w:szCs w:val="22"/>
        </w:rPr>
        <w:t>)</w:t>
      </w:r>
    </w:p>
    <w:p w:rsidR="00D36778" w:rsidRPr="000B530E" w:rsidRDefault="00D36778" w:rsidP="00D36778">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D36778" w:rsidRPr="000B530E" w:rsidTr="00080674">
        <w:trPr>
          <w:trHeight w:val="218"/>
        </w:trPr>
        <w:tc>
          <w:tcPr>
            <w:tcW w:w="5420" w:type="dxa"/>
          </w:tcPr>
          <w:p w:rsidR="00D36778" w:rsidRPr="000B530E" w:rsidRDefault="00D36778"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D36778" w:rsidRPr="000B530E" w:rsidTr="00080674">
        <w:tc>
          <w:tcPr>
            <w:tcW w:w="5420" w:type="dxa"/>
            <w:vMerge w:val="restart"/>
          </w:tcPr>
          <w:p w:rsidR="00D36778" w:rsidRPr="000B530E" w:rsidRDefault="00D36778" w:rsidP="00080674">
            <w:pPr>
              <w:autoSpaceDE w:val="0"/>
              <w:autoSpaceDN w:val="0"/>
              <w:adjustRightInd w:val="0"/>
              <w:jc w:val="center"/>
              <w:rPr>
                <w:rFonts w:ascii="Calibri" w:eastAsia="Calibri" w:hAnsi="Calibri" w:cs="Calibri"/>
                <w:b/>
                <w:color w:val="3F4F21"/>
                <w:sz w:val="8"/>
                <w:szCs w:val="8"/>
              </w:rPr>
            </w:pPr>
          </w:p>
          <w:p w:rsidR="00D36778" w:rsidRPr="000B530E" w:rsidRDefault="000366FD"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60F48585" wp14:editId="1FB3182F">
                  <wp:extent cx="1666875" cy="501917"/>
                  <wp:effectExtent l="0" t="0" r="0" b="0"/>
                  <wp:docPr id="84" name="Picture 84"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D36778" w:rsidRPr="000B530E" w:rsidRDefault="00FD3E84"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34B386E3" wp14:editId="664A74B3">
                  <wp:extent cx="1085850" cy="326964"/>
                  <wp:effectExtent l="0" t="0" r="0" b="0"/>
                  <wp:docPr id="172" name="Picture 17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D36778" w:rsidRPr="000B530E" w:rsidRDefault="00D36778" w:rsidP="00080674">
            <w:pPr>
              <w:autoSpaceDE w:val="0"/>
              <w:autoSpaceDN w:val="0"/>
              <w:adjustRightInd w:val="0"/>
              <w:jc w:val="center"/>
              <w:rPr>
                <w:rFonts w:ascii="Calibri" w:eastAsia="Calibri" w:hAnsi="Calibri" w:cs="Calibri"/>
                <w:b/>
                <w:color w:val="3F4F21"/>
                <w:sz w:val="8"/>
                <w:szCs w:val="8"/>
              </w:rPr>
            </w:pPr>
          </w:p>
        </w:tc>
      </w:tr>
      <w:tr w:rsidR="00D36778" w:rsidRPr="000B530E" w:rsidTr="00080674">
        <w:tc>
          <w:tcPr>
            <w:tcW w:w="5420" w:type="dxa"/>
            <w:vMerge/>
          </w:tcPr>
          <w:p w:rsidR="00D36778" w:rsidRPr="000B530E" w:rsidRDefault="00D36778" w:rsidP="00080674">
            <w:pPr>
              <w:autoSpaceDE w:val="0"/>
              <w:autoSpaceDN w:val="0"/>
              <w:adjustRightInd w:val="0"/>
              <w:jc w:val="center"/>
              <w:rPr>
                <w:rFonts w:ascii="Calibri" w:eastAsia="Calibri" w:hAnsi="Calibri" w:cs="Calibri"/>
                <w:b/>
                <w:color w:val="3F4F21"/>
                <w:sz w:val="22"/>
                <w:szCs w:val="22"/>
              </w:rPr>
            </w:pPr>
          </w:p>
        </w:tc>
        <w:tc>
          <w:tcPr>
            <w:tcW w:w="1101" w:type="dxa"/>
          </w:tcPr>
          <w:p w:rsidR="00D36778" w:rsidRPr="000B530E" w:rsidRDefault="00D36778"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D36778" w:rsidRPr="000B530E" w:rsidRDefault="00D36778"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516BE6BF" wp14:editId="3380008F">
                  <wp:extent cx="1085850" cy="326964"/>
                  <wp:effectExtent l="0" t="0" r="0" b="0"/>
                  <wp:docPr id="163" name="Picture 16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D42BE4" w:rsidRPr="00D42BE4" w:rsidRDefault="00370BEC" w:rsidP="00D42BE4">
      <w:pPr>
        <w:spacing w:after="200" w:line="276" w:lineRule="auto"/>
        <w:ind w:left="360"/>
        <w:jc w:val="both"/>
        <w:rPr>
          <w:rFonts w:ascii="Calibri" w:eastAsia="Calibri" w:hAnsi="Calibri" w:cs="Times New Roman"/>
          <w:sz w:val="22"/>
          <w:szCs w:val="22"/>
        </w:rPr>
      </w:pPr>
      <w:r>
        <w:rPr>
          <w:rFonts w:asciiTheme="minorHAnsi" w:hAnsiTheme="minorHAnsi" w:cstheme="minorHAnsi"/>
          <w:sz w:val="22"/>
          <w:szCs w:val="18"/>
          <w:lang w:val="en"/>
        </w:rPr>
        <w:t xml:space="preserve"> </w:t>
      </w:r>
    </w:p>
    <w:p w:rsidR="000366FD" w:rsidRPr="000366FD" w:rsidRDefault="000366FD" w:rsidP="004335B5">
      <w:pPr>
        <w:numPr>
          <w:ilvl w:val="0"/>
          <w:numId w:val="7"/>
        </w:numPr>
        <w:spacing w:after="200" w:line="276" w:lineRule="auto"/>
        <w:jc w:val="both"/>
        <w:rPr>
          <w:rFonts w:ascii="Calibri" w:eastAsia="Calibri" w:hAnsi="Calibri" w:cs="Times New Roman"/>
          <w:sz w:val="22"/>
          <w:szCs w:val="22"/>
        </w:rPr>
      </w:pPr>
      <w:r w:rsidRPr="00564DFD">
        <w:rPr>
          <w:rFonts w:asciiTheme="minorHAnsi" w:hAnsiTheme="minorHAnsi" w:cstheme="minorHAnsi"/>
          <w:sz w:val="22"/>
          <w:szCs w:val="18"/>
          <w:lang w:val="en"/>
        </w:rPr>
        <w:t>Conservation area consent was granted for four applications received in the monitoring year.  0% of these consents were granted by the City Council contrary to officers’ and English Heritage’s recommendations.</w:t>
      </w:r>
      <w:r>
        <w:rPr>
          <w:rFonts w:asciiTheme="minorHAnsi" w:hAnsiTheme="minorHAnsi" w:cstheme="minorHAnsi"/>
          <w:sz w:val="22"/>
          <w:szCs w:val="18"/>
          <w:lang w:val="en"/>
        </w:rPr>
        <w:t xml:space="preserve"> </w:t>
      </w:r>
    </w:p>
    <w:p w:rsidR="004471EF" w:rsidRDefault="003B7D59" w:rsidP="004335B5">
      <w:pPr>
        <w:numPr>
          <w:ilvl w:val="0"/>
          <w:numId w:val="7"/>
        </w:numPr>
        <w:spacing w:after="200" w:line="276" w:lineRule="auto"/>
        <w:jc w:val="both"/>
        <w:rPr>
          <w:rFonts w:ascii="Calibri" w:eastAsia="Calibri" w:hAnsi="Calibri" w:cs="Times New Roman"/>
          <w:sz w:val="22"/>
          <w:szCs w:val="22"/>
        </w:rPr>
      </w:pPr>
      <w:r>
        <w:rPr>
          <w:rFonts w:asciiTheme="minorHAnsi" w:hAnsiTheme="minorHAnsi" w:cstheme="minorHAnsi"/>
          <w:sz w:val="22"/>
          <w:szCs w:val="18"/>
          <w:lang w:val="en"/>
        </w:rPr>
        <w:t>C</w:t>
      </w:r>
      <w:r w:rsidR="00370BEC">
        <w:rPr>
          <w:rFonts w:asciiTheme="minorHAnsi" w:hAnsiTheme="minorHAnsi" w:cstheme="minorHAnsi"/>
          <w:sz w:val="22"/>
          <w:szCs w:val="18"/>
          <w:lang w:val="en"/>
        </w:rPr>
        <w:t xml:space="preserve">onservation area consents were </w:t>
      </w:r>
      <w:r w:rsidR="00370BEC" w:rsidRPr="00370BEC">
        <w:rPr>
          <w:rFonts w:asciiTheme="minorHAnsi" w:hAnsiTheme="minorHAnsi" w:cstheme="minorHAnsi"/>
          <w:sz w:val="22"/>
          <w:szCs w:val="18"/>
          <w:lang w:val="en"/>
        </w:rPr>
        <w:t>abolished</w:t>
      </w:r>
      <w:r w:rsidR="000366FD">
        <w:rPr>
          <w:rFonts w:asciiTheme="minorHAnsi" w:hAnsiTheme="minorHAnsi" w:cstheme="minorHAnsi"/>
          <w:sz w:val="22"/>
          <w:szCs w:val="18"/>
          <w:lang w:val="en"/>
        </w:rPr>
        <w:t xml:space="preserve"> on the</w:t>
      </w:r>
      <w:r>
        <w:rPr>
          <w:rFonts w:asciiTheme="minorHAnsi" w:hAnsiTheme="minorHAnsi" w:cstheme="minorHAnsi"/>
          <w:sz w:val="22"/>
          <w:szCs w:val="18"/>
          <w:lang w:val="en"/>
        </w:rPr>
        <w:t xml:space="preserve"> </w:t>
      </w:r>
      <w:r w:rsidR="00370BEC">
        <w:rPr>
          <w:rFonts w:asciiTheme="minorHAnsi" w:hAnsiTheme="minorHAnsi" w:cstheme="minorHAnsi"/>
          <w:sz w:val="22"/>
          <w:szCs w:val="18"/>
          <w:lang w:val="en"/>
        </w:rPr>
        <w:t>1 October 2013</w:t>
      </w:r>
      <w:r w:rsidR="000366FD">
        <w:rPr>
          <w:rFonts w:asciiTheme="minorHAnsi" w:hAnsiTheme="minorHAnsi" w:cstheme="minorHAnsi"/>
          <w:sz w:val="22"/>
          <w:szCs w:val="18"/>
          <w:lang w:val="en"/>
        </w:rPr>
        <w:t>. This indicator will therefore be removed from future monitoring reports.</w:t>
      </w:r>
    </w:p>
    <w:p w:rsidR="004471EF" w:rsidRPr="004471EF" w:rsidRDefault="004471EF" w:rsidP="004471EF">
      <w:pPr>
        <w:spacing w:after="200" w:line="276" w:lineRule="auto"/>
        <w:jc w:val="both"/>
        <w:rPr>
          <w:rFonts w:ascii="Calibri" w:eastAsia="Calibri" w:hAnsi="Calibri" w:cs="Times New Roman"/>
          <w:sz w:val="22"/>
          <w:szCs w:val="22"/>
        </w:rPr>
      </w:pPr>
    </w:p>
    <w:p w:rsidR="00D36778" w:rsidRDefault="00D36778" w:rsidP="00A31762">
      <w:pPr>
        <w:rPr>
          <w:color w:val="632423" w:themeColor="accent2" w:themeShade="80"/>
          <w:sz w:val="22"/>
          <w:szCs w:val="22"/>
        </w:rPr>
      </w:pPr>
    </w:p>
    <w:p w:rsidR="00FD3E84" w:rsidRPr="000B530E" w:rsidRDefault="00240CC7" w:rsidP="00FD3E84">
      <w:pPr>
        <w:autoSpaceDE w:val="0"/>
        <w:autoSpaceDN w:val="0"/>
        <w:adjustRightInd w:val="0"/>
        <w:jc w:val="both"/>
        <w:rPr>
          <w:rFonts w:ascii="Calibri" w:eastAsia="Calibri" w:hAnsi="Calibri" w:cs="Calibri"/>
          <w:color w:val="3F4F21"/>
        </w:rPr>
      </w:pPr>
      <w:r w:rsidRPr="00240CC7">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34368" behindDoc="0" locked="0" layoutInCell="1" allowOverlap="1" wp14:anchorId="50A23940" wp14:editId="7A7B3B24">
                <wp:simplePos x="0" y="0"/>
                <wp:positionH relativeFrom="column">
                  <wp:posOffset>3483610</wp:posOffset>
                </wp:positionH>
                <wp:positionV relativeFrom="paragraph">
                  <wp:posOffset>-625475</wp:posOffset>
                </wp:positionV>
                <wp:extent cx="2427605" cy="352425"/>
                <wp:effectExtent l="0" t="0" r="0" b="9525"/>
                <wp:wrapNone/>
                <wp:docPr id="141" name="Text Box 141"/>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1" o:spid="_x0000_s1078" type="#_x0000_t202" style="position:absolute;left:0;text-align:left;margin-left:274.3pt;margin-top:-49.25pt;width:191.15pt;height:27.7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" fillcolor="window" stroked="f" strokeweight=".5pt">
                <v:textbox>
                  <w:txbxContent>
                    <w:p w:rsidR="000D3CFF" w:rsidRPr="00483A60" w:rsidRDefault="000D3CFF" w:rsidP="00240CC7">
                      <w:pPr>
                        <w:jc w:val="right"/>
                        <w:rPr>
                          <w:b/>
                          <w:color w:val="4F6228" w:themeColor="accent3" w:themeShade="80"/>
                        </w:rPr>
                      </w:pPr>
                      <w:r w:rsidRPr="00483A60">
                        <w:rPr>
                          <w:b/>
                          <w:color w:val="4F6228" w:themeColor="accent3" w:themeShade="80"/>
                        </w:rPr>
                        <w:t>Cleaner, Greener Oxford</w:t>
                      </w:r>
                    </w:p>
                  </w:txbxContent>
                </v:textbox>
              </v:shape>
            </w:pict>
          </mc:Fallback>
        </mc:AlternateContent>
      </w: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20704" behindDoc="1" locked="0" layoutInCell="1" allowOverlap="1" wp14:anchorId="6498CDAF" wp14:editId="5517AB48">
                <wp:simplePos x="0" y="0"/>
                <wp:positionH relativeFrom="column">
                  <wp:posOffset>-28575</wp:posOffset>
                </wp:positionH>
                <wp:positionV relativeFrom="paragraph">
                  <wp:posOffset>-74295</wp:posOffset>
                </wp:positionV>
                <wp:extent cx="5857875" cy="1971675"/>
                <wp:effectExtent l="0" t="0" r="9525" b="9525"/>
                <wp:wrapNone/>
                <wp:docPr id="176" name="Rectangle 176"/>
                <wp:cNvGraphicFramePr/>
                <a:graphic xmlns:a="http://schemas.openxmlformats.org/drawingml/2006/main">
                  <a:graphicData uri="http://schemas.microsoft.com/office/word/2010/wordprocessingShape">
                    <wps:wsp>
                      <wps:cNvSpPr/>
                      <wps:spPr>
                        <a:xfrm>
                          <a:off x="0" y="0"/>
                          <a:ext cx="5857875" cy="197167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26" style="position:absolute;margin-left:-2.25pt;margin-top:-5.85pt;width:461.25pt;height:155.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" fillcolor="#c2d69b [1942]" stroked="f" strokeweight="2pt"/>
            </w:pict>
          </mc:Fallback>
        </mc:AlternateContent>
      </w:r>
      <w:r w:rsidR="00FD3E84">
        <w:rPr>
          <w:rFonts w:ascii="Calibri" w:eastAsia="Calibri" w:hAnsi="Calibri" w:cs="Calibri"/>
          <w:b/>
          <w:color w:val="3F4F21"/>
        </w:rPr>
        <w:t>I</w:t>
      </w:r>
      <w:r w:rsidR="00FD3E84" w:rsidRPr="000B530E">
        <w:rPr>
          <w:rFonts w:ascii="Calibri" w:eastAsia="Calibri" w:hAnsi="Calibri" w:cs="Calibri"/>
          <w:b/>
          <w:color w:val="3F4F21"/>
        </w:rPr>
        <w:t xml:space="preserve">ndicator </w:t>
      </w:r>
      <w:r w:rsidR="00FD3E84">
        <w:rPr>
          <w:rFonts w:ascii="Calibri" w:eastAsia="Calibri" w:hAnsi="Calibri" w:cs="Calibri"/>
          <w:b/>
          <w:color w:val="3F4F21"/>
        </w:rPr>
        <w:t>30</w:t>
      </w:r>
      <w:r w:rsidR="00FD3E84" w:rsidRPr="000B530E">
        <w:rPr>
          <w:rFonts w:ascii="Calibri" w:eastAsia="Calibri" w:hAnsi="Calibri" w:cs="Calibri"/>
          <w:b/>
          <w:color w:val="3F4F21"/>
        </w:rPr>
        <w:t xml:space="preserve">: </w:t>
      </w:r>
      <w:r w:rsidR="00FD3E84" w:rsidRPr="009C35B6">
        <w:rPr>
          <w:rFonts w:ascii="Calibri" w:eastAsia="Calibri" w:hAnsi="Calibri" w:cs="Calibri"/>
          <w:b/>
          <w:color w:val="3F4F21"/>
        </w:rPr>
        <w:t>APP</w:t>
      </w:r>
      <w:r w:rsidR="00FD3E84">
        <w:rPr>
          <w:rFonts w:ascii="Calibri" w:eastAsia="Calibri" w:hAnsi="Calibri" w:cs="Calibri"/>
          <w:b/>
          <w:color w:val="3F4F21"/>
        </w:rPr>
        <w:t>EALS ALLOWED WHERE CONSERVATION POLICIES ARE CITED AS A REASON FOR REFUSAL</w:t>
      </w:r>
    </w:p>
    <w:p w:rsidR="00FD3E84" w:rsidRPr="000B530E" w:rsidRDefault="00FD3E84" w:rsidP="00FD3E84">
      <w:pPr>
        <w:autoSpaceDE w:val="0"/>
        <w:autoSpaceDN w:val="0"/>
        <w:adjustRightInd w:val="0"/>
        <w:jc w:val="both"/>
        <w:rPr>
          <w:rFonts w:ascii="Calibri" w:eastAsia="Calibri" w:hAnsi="Calibri" w:cs="Calibri"/>
          <w:b/>
          <w:color w:val="3F4F21"/>
          <w:sz w:val="10"/>
          <w:szCs w:val="22"/>
        </w:rPr>
      </w:pPr>
    </w:p>
    <w:p w:rsidR="00FD3E84" w:rsidRPr="00EC00D8" w:rsidRDefault="00FD3E84" w:rsidP="00FD3E84">
      <w:pPr>
        <w:autoSpaceDE w:val="0"/>
        <w:autoSpaceDN w:val="0"/>
        <w:adjustRightInd w:val="0"/>
        <w:jc w:val="both"/>
        <w:rPr>
          <w:rFonts w:ascii="Calibri" w:eastAsia="Calibri" w:hAnsi="Calibri" w:cs="Calibri"/>
          <w:color w:val="4F6228" w:themeColor="accent3" w:themeShade="80"/>
          <w:sz w:val="20"/>
          <w:szCs w:val="22"/>
        </w:rPr>
      </w:pPr>
      <w:r w:rsidRPr="000B530E">
        <w:rPr>
          <w:rFonts w:ascii="Calibri" w:eastAsia="Calibri" w:hAnsi="Calibri" w:cs="Calibri"/>
          <w:b/>
          <w:color w:val="3F4F21"/>
          <w:sz w:val="22"/>
          <w:szCs w:val="22"/>
        </w:rPr>
        <w:t xml:space="preserve">Target: </w:t>
      </w:r>
      <w:r w:rsidR="00EC00D8">
        <w:rPr>
          <w:rFonts w:ascii="Calibri" w:eastAsia="Calibri" w:hAnsi="Calibri" w:cs="Calibri"/>
          <w:b/>
          <w:color w:val="3F4F21"/>
          <w:sz w:val="22"/>
          <w:szCs w:val="22"/>
        </w:rPr>
        <w:t xml:space="preserve">80% of appeals dismissed where conservation policies are cited as a reason for refusal </w:t>
      </w:r>
      <w:r w:rsidR="00A234AB">
        <w:rPr>
          <w:rFonts w:ascii="Calibri" w:eastAsia="Calibri" w:hAnsi="Calibri" w:cs="Calibri"/>
          <w:color w:val="4F6228" w:themeColor="accent3" w:themeShade="80"/>
          <w:sz w:val="20"/>
          <w:szCs w:val="22"/>
        </w:rPr>
        <w:t>(Oxford Core Strategy</w:t>
      </w:r>
      <w:r w:rsidR="00EC00D8" w:rsidRPr="00EC00D8">
        <w:rPr>
          <w:rFonts w:ascii="Calibri" w:eastAsia="Calibri" w:hAnsi="Calibri" w:cs="Calibri"/>
          <w:color w:val="4F6228" w:themeColor="accent3" w:themeShade="80"/>
          <w:sz w:val="20"/>
          <w:szCs w:val="22"/>
        </w:rPr>
        <w:t xml:space="preserve"> Policy CS</w:t>
      </w:r>
      <w:r w:rsidR="00EC00D8">
        <w:rPr>
          <w:rFonts w:ascii="Calibri" w:eastAsia="Calibri" w:hAnsi="Calibri" w:cs="Calibri"/>
          <w:color w:val="4F6228" w:themeColor="accent3" w:themeShade="80"/>
          <w:sz w:val="20"/>
          <w:szCs w:val="22"/>
        </w:rPr>
        <w:t>18</w:t>
      </w:r>
      <w:r w:rsidR="00EC00D8" w:rsidRPr="00EC00D8">
        <w:rPr>
          <w:rFonts w:ascii="Calibri" w:eastAsia="Calibri" w:hAnsi="Calibri" w:cs="Calibri"/>
          <w:color w:val="4F6228" w:themeColor="accent3" w:themeShade="80"/>
          <w:sz w:val="20"/>
          <w:szCs w:val="22"/>
        </w:rPr>
        <w:t>)</w:t>
      </w:r>
    </w:p>
    <w:p w:rsidR="00FD3E84" w:rsidRPr="000B530E" w:rsidRDefault="00FD3E84" w:rsidP="00FD3E84">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FD3E84" w:rsidRPr="000B530E" w:rsidTr="00080674">
        <w:trPr>
          <w:trHeight w:val="218"/>
        </w:trPr>
        <w:tc>
          <w:tcPr>
            <w:tcW w:w="5420" w:type="dxa"/>
          </w:tcPr>
          <w:p w:rsidR="00FD3E84" w:rsidRPr="000B530E" w:rsidRDefault="00FD3E84"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FD3E84" w:rsidRPr="000B530E" w:rsidTr="00080674">
        <w:tc>
          <w:tcPr>
            <w:tcW w:w="5420" w:type="dxa"/>
            <w:vMerge w:val="restart"/>
          </w:tcPr>
          <w:p w:rsidR="00FD3E84" w:rsidRPr="000B530E" w:rsidRDefault="00FD3E84" w:rsidP="00080674">
            <w:pPr>
              <w:autoSpaceDE w:val="0"/>
              <w:autoSpaceDN w:val="0"/>
              <w:adjustRightInd w:val="0"/>
              <w:jc w:val="center"/>
              <w:rPr>
                <w:rFonts w:ascii="Calibri" w:eastAsia="Calibri" w:hAnsi="Calibri" w:cs="Calibri"/>
                <w:b/>
                <w:color w:val="3F4F21"/>
                <w:sz w:val="8"/>
                <w:szCs w:val="8"/>
              </w:rPr>
            </w:pPr>
          </w:p>
          <w:p w:rsidR="00620420" w:rsidRDefault="0005002F" w:rsidP="00080674">
            <w:pPr>
              <w:autoSpaceDE w:val="0"/>
              <w:autoSpaceDN w:val="0"/>
              <w:adjustRightInd w:val="0"/>
              <w:jc w:val="center"/>
              <w:rPr>
                <w:b/>
                <w:noProof/>
                <w:color w:val="3F4F21"/>
                <w:sz w:val="32"/>
                <w:szCs w:val="32"/>
                <w:lang w:eastAsia="en-GB"/>
              </w:rPr>
            </w:pPr>
            <w:r w:rsidRPr="000B530E">
              <w:rPr>
                <w:b/>
                <w:noProof/>
                <w:color w:val="3F4F21"/>
                <w:sz w:val="32"/>
                <w:szCs w:val="32"/>
                <w:lang w:eastAsia="en-GB"/>
              </w:rPr>
              <w:drawing>
                <wp:inline distT="0" distB="0" distL="0" distR="0" wp14:anchorId="0812DAE7" wp14:editId="5664790D">
                  <wp:extent cx="1666875" cy="501917"/>
                  <wp:effectExtent l="0" t="0" r="0" b="0"/>
                  <wp:docPr id="29" name="Picture 2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p w:rsidR="00FD3E84" w:rsidRPr="000B530E" w:rsidRDefault="00FD3E84" w:rsidP="00080674">
            <w:pPr>
              <w:autoSpaceDE w:val="0"/>
              <w:autoSpaceDN w:val="0"/>
              <w:adjustRightInd w:val="0"/>
              <w:jc w:val="center"/>
              <w:rPr>
                <w:rFonts w:ascii="Calibri" w:eastAsia="Calibri" w:hAnsi="Calibri" w:cs="Calibri"/>
                <w:b/>
                <w:color w:val="3F4F21"/>
                <w:sz w:val="12"/>
                <w:szCs w:val="12"/>
              </w:rPr>
            </w:pP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6784DD35" wp14:editId="6F273343">
                  <wp:extent cx="1085850" cy="326964"/>
                  <wp:effectExtent l="0" t="0" r="0" b="0"/>
                  <wp:docPr id="173" name="Picture 17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FD3E84" w:rsidRPr="000B530E" w:rsidRDefault="00FD3E84" w:rsidP="00080674">
            <w:pPr>
              <w:autoSpaceDE w:val="0"/>
              <w:autoSpaceDN w:val="0"/>
              <w:adjustRightInd w:val="0"/>
              <w:jc w:val="center"/>
              <w:rPr>
                <w:rFonts w:ascii="Calibri" w:eastAsia="Calibri" w:hAnsi="Calibri" w:cs="Calibri"/>
                <w:b/>
                <w:color w:val="3F4F21"/>
                <w:sz w:val="8"/>
                <w:szCs w:val="8"/>
              </w:rPr>
            </w:pPr>
          </w:p>
        </w:tc>
      </w:tr>
      <w:tr w:rsidR="00FD3E84" w:rsidRPr="000B530E" w:rsidTr="00080674">
        <w:tc>
          <w:tcPr>
            <w:tcW w:w="5420" w:type="dxa"/>
            <w:vMerge/>
          </w:tcPr>
          <w:p w:rsidR="00FD3E84" w:rsidRPr="000B530E" w:rsidRDefault="00FD3E84" w:rsidP="00080674">
            <w:pPr>
              <w:autoSpaceDE w:val="0"/>
              <w:autoSpaceDN w:val="0"/>
              <w:adjustRightInd w:val="0"/>
              <w:jc w:val="center"/>
              <w:rPr>
                <w:rFonts w:ascii="Calibri" w:eastAsia="Calibri" w:hAnsi="Calibri" w:cs="Calibri"/>
                <w:b/>
                <w:color w:val="3F4F21"/>
                <w:sz w:val="22"/>
                <w:szCs w:val="22"/>
              </w:rPr>
            </w:pP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FD3E84" w:rsidRPr="000B530E" w:rsidRDefault="00FD3E84" w:rsidP="00080674">
            <w:pPr>
              <w:autoSpaceDE w:val="0"/>
              <w:autoSpaceDN w:val="0"/>
              <w:adjustRightInd w:val="0"/>
              <w:rPr>
                <w:rFonts w:ascii="Calibri" w:eastAsia="Calibri" w:hAnsi="Calibri" w:cs="Calibri"/>
                <w:b/>
                <w:color w:val="3F4F21"/>
                <w:sz w:val="20"/>
                <w:szCs w:val="20"/>
              </w:rPr>
            </w:pPr>
            <w:r>
              <w:rPr>
                <w:noProof/>
                <w:lang w:eastAsia="en-GB"/>
              </w:rPr>
              <w:drawing>
                <wp:inline distT="0" distB="0" distL="0" distR="0" wp14:anchorId="4DE67897" wp14:editId="1DAD1E3C">
                  <wp:extent cx="1085850" cy="314173"/>
                  <wp:effectExtent l="0" t="0" r="0" b="0"/>
                  <wp:docPr id="175" name="Picture 175"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4182" cy="313690"/>
                          </a:xfrm>
                          <a:prstGeom prst="rect">
                            <a:avLst/>
                          </a:prstGeom>
                          <a:noFill/>
                          <a:ln>
                            <a:noFill/>
                          </a:ln>
                        </pic:spPr>
                      </pic:pic>
                    </a:graphicData>
                  </a:graphic>
                </wp:inline>
              </w:drawing>
            </w:r>
          </w:p>
        </w:tc>
      </w:tr>
    </w:tbl>
    <w:p w:rsidR="00A318D1" w:rsidRPr="00A318D1" w:rsidRDefault="00A318D1" w:rsidP="00A31762">
      <w:pPr>
        <w:rPr>
          <w:rFonts w:asciiTheme="minorHAnsi" w:hAnsiTheme="minorHAnsi" w:cstheme="minorHAnsi"/>
          <w:sz w:val="22"/>
          <w:szCs w:val="22"/>
        </w:rPr>
      </w:pPr>
    </w:p>
    <w:p w:rsidR="004471EF" w:rsidRPr="004471EF" w:rsidRDefault="004471EF" w:rsidP="004335B5">
      <w:pPr>
        <w:numPr>
          <w:ilvl w:val="0"/>
          <w:numId w:val="7"/>
        </w:numPr>
        <w:spacing w:after="60" w:line="276" w:lineRule="auto"/>
        <w:jc w:val="both"/>
        <w:rPr>
          <w:rFonts w:ascii="Calibri" w:eastAsia="Calibri" w:hAnsi="Calibri" w:cs="Times New Roman"/>
          <w:sz w:val="22"/>
          <w:szCs w:val="22"/>
        </w:rPr>
      </w:pPr>
      <w:r w:rsidRPr="004471EF">
        <w:rPr>
          <w:rFonts w:asciiTheme="minorHAnsi" w:hAnsiTheme="minorHAnsi" w:cstheme="minorHAnsi"/>
          <w:sz w:val="22"/>
          <w:szCs w:val="22"/>
        </w:rPr>
        <w:t>The conservation policies are the saved historic environment policies taken from the Oxford Local Plan 2001-2016. There were six appeals where these policies had been</w:t>
      </w:r>
      <w:r w:rsidR="00564DFD">
        <w:rPr>
          <w:rFonts w:asciiTheme="minorHAnsi" w:hAnsiTheme="minorHAnsi" w:cstheme="minorHAnsi"/>
          <w:sz w:val="22"/>
          <w:szCs w:val="22"/>
        </w:rPr>
        <w:t xml:space="preserve"> cited as a reason for refusal and o</w:t>
      </w:r>
      <w:r w:rsidRPr="004471EF">
        <w:rPr>
          <w:rFonts w:asciiTheme="minorHAnsi" w:hAnsiTheme="minorHAnsi" w:cstheme="minorHAnsi"/>
          <w:sz w:val="22"/>
          <w:szCs w:val="22"/>
        </w:rPr>
        <w:t xml:space="preserve">f these, one appeal was allowed: </w:t>
      </w:r>
    </w:p>
    <w:p w:rsidR="004471EF" w:rsidRPr="007C6EEA" w:rsidRDefault="004471EF" w:rsidP="004471EF">
      <w:pPr>
        <w:spacing w:after="60"/>
        <w:jc w:val="both"/>
        <w:rPr>
          <w:rFonts w:asciiTheme="minorHAnsi" w:hAnsiTheme="minorHAnsi" w:cstheme="minorHAnsi"/>
          <w:sz w:val="10"/>
          <w:szCs w:val="1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44"/>
      </w:tblGrid>
      <w:tr w:rsidR="004471EF" w:rsidRPr="00FE3BD4" w:rsidTr="004471EF">
        <w:tc>
          <w:tcPr>
            <w:tcW w:w="2802" w:type="dxa"/>
            <w:shd w:val="clear" w:color="auto" w:fill="auto"/>
          </w:tcPr>
          <w:p w:rsidR="004471EF" w:rsidRPr="004471EF" w:rsidRDefault="004471EF" w:rsidP="004471EF">
            <w:pPr>
              <w:spacing w:after="60"/>
              <w:jc w:val="both"/>
              <w:rPr>
                <w:rFonts w:asciiTheme="minorHAnsi" w:hAnsiTheme="minorHAnsi" w:cstheme="minorHAnsi"/>
                <w:i/>
                <w:color w:val="4F6228" w:themeColor="accent3" w:themeShade="80"/>
                <w:sz w:val="22"/>
                <w:szCs w:val="22"/>
              </w:rPr>
            </w:pPr>
            <w:r w:rsidRPr="004471EF">
              <w:rPr>
                <w:rFonts w:asciiTheme="minorHAnsi" w:hAnsiTheme="minorHAnsi" w:cstheme="minorHAnsi"/>
                <w:i/>
                <w:color w:val="4F6228" w:themeColor="accent3" w:themeShade="80"/>
                <w:sz w:val="22"/>
                <w:szCs w:val="22"/>
              </w:rPr>
              <w:t xml:space="preserve">Application reference:  </w:t>
            </w:r>
          </w:p>
        </w:tc>
        <w:tc>
          <w:tcPr>
            <w:tcW w:w="5844" w:type="dxa"/>
            <w:shd w:val="clear" w:color="auto" w:fill="auto"/>
          </w:tcPr>
          <w:p w:rsidR="004471EF" w:rsidRPr="004471EF" w:rsidRDefault="004471EF" w:rsidP="004471EF">
            <w:pPr>
              <w:spacing w:after="60"/>
              <w:jc w:val="both"/>
              <w:rPr>
                <w:rFonts w:asciiTheme="minorHAnsi" w:hAnsiTheme="minorHAnsi" w:cstheme="minorHAnsi"/>
                <w:sz w:val="22"/>
                <w:szCs w:val="22"/>
              </w:rPr>
            </w:pPr>
            <w:r>
              <w:rPr>
                <w:rFonts w:asciiTheme="minorHAnsi" w:hAnsiTheme="minorHAnsi" w:cstheme="minorHAnsi"/>
                <w:sz w:val="22"/>
                <w:szCs w:val="22"/>
              </w:rPr>
              <w:t>13/01428/FUL</w:t>
            </w:r>
          </w:p>
        </w:tc>
      </w:tr>
      <w:tr w:rsidR="004471EF" w:rsidRPr="00FE3BD4" w:rsidTr="004471EF">
        <w:tc>
          <w:tcPr>
            <w:tcW w:w="2802" w:type="dxa"/>
            <w:shd w:val="clear" w:color="auto" w:fill="auto"/>
          </w:tcPr>
          <w:p w:rsidR="004471EF" w:rsidRPr="004471EF" w:rsidRDefault="004471EF" w:rsidP="004471EF">
            <w:pPr>
              <w:spacing w:after="60"/>
              <w:jc w:val="both"/>
              <w:rPr>
                <w:rFonts w:asciiTheme="minorHAnsi" w:hAnsiTheme="minorHAnsi" w:cstheme="minorHAnsi"/>
                <w:i/>
                <w:color w:val="4F6228" w:themeColor="accent3" w:themeShade="80"/>
                <w:sz w:val="22"/>
                <w:szCs w:val="22"/>
              </w:rPr>
            </w:pPr>
            <w:r w:rsidRPr="004471EF">
              <w:rPr>
                <w:rFonts w:asciiTheme="minorHAnsi" w:hAnsiTheme="minorHAnsi" w:cstheme="minorHAnsi"/>
                <w:i/>
                <w:color w:val="4F6228" w:themeColor="accent3" w:themeShade="80"/>
                <w:sz w:val="22"/>
                <w:szCs w:val="22"/>
              </w:rPr>
              <w:t>Address:</w:t>
            </w:r>
          </w:p>
        </w:tc>
        <w:tc>
          <w:tcPr>
            <w:tcW w:w="5844" w:type="dxa"/>
            <w:shd w:val="clear" w:color="auto" w:fill="auto"/>
          </w:tcPr>
          <w:p w:rsidR="004471EF" w:rsidRPr="00FE3BD4" w:rsidRDefault="004471EF" w:rsidP="004471EF">
            <w:pPr>
              <w:spacing w:after="60"/>
              <w:jc w:val="both"/>
              <w:rPr>
                <w:rFonts w:asciiTheme="minorHAnsi" w:hAnsiTheme="minorHAnsi" w:cstheme="minorHAnsi"/>
                <w:sz w:val="22"/>
                <w:szCs w:val="22"/>
              </w:rPr>
            </w:pPr>
            <w:r>
              <w:rPr>
                <w:rFonts w:asciiTheme="minorHAnsi" w:hAnsiTheme="minorHAnsi" w:cstheme="minorHAnsi"/>
                <w:sz w:val="22"/>
                <w:szCs w:val="22"/>
              </w:rPr>
              <w:t xml:space="preserve">8 Mill Lane, </w:t>
            </w:r>
            <w:proofErr w:type="spellStart"/>
            <w:r>
              <w:rPr>
                <w:rFonts w:asciiTheme="minorHAnsi" w:hAnsiTheme="minorHAnsi" w:cstheme="minorHAnsi"/>
                <w:sz w:val="22"/>
                <w:szCs w:val="22"/>
              </w:rPr>
              <w:t>Iffley</w:t>
            </w:r>
            <w:proofErr w:type="spellEnd"/>
          </w:p>
        </w:tc>
      </w:tr>
      <w:tr w:rsidR="004471EF" w:rsidRPr="00FE3BD4" w:rsidTr="004471EF">
        <w:tc>
          <w:tcPr>
            <w:tcW w:w="2802" w:type="dxa"/>
            <w:shd w:val="clear" w:color="auto" w:fill="auto"/>
          </w:tcPr>
          <w:p w:rsidR="004471EF" w:rsidRPr="004471EF" w:rsidRDefault="004471EF" w:rsidP="004471EF">
            <w:pPr>
              <w:spacing w:after="60"/>
              <w:jc w:val="both"/>
              <w:rPr>
                <w:rFonts w:asciiTheme="minorHAnsi" w:hAnsiTheme="minorHAnsi" w:cstheme="minorHAnsi"/>
                <w:i/>
                <w:color w:val="4F6228" w:themeColor="accent3" w:themeShade="80"/>
                <w:sz w:val="22"/>
                <w:szCs w:val="22"/>
              </w:rPr>
            </w:pPr>
            <w:r w:rsidRPr="004471EF">
              <w:rPr>
                <w:rFonts w:asciiTheme="minorHAnsi" w:hAnsiTheme="minorHAnsi" w:cstheme="minorHAnsi"/>
                <w:i/>
                <w:color w:val="4F6228" w:themeColor="accent3" w:themeShade="80"/>
                <w:sz w:val="22"/>
                <w:szCs w:val="22"/>
              </w:rPr>
              <w:t xml:space="preserve">Description of development: </w:t>
            </w:r>
          </w:p>
          <w:p w:rsidR="004471EF" w:rsidRPr="004471EF" w:rsidRDefault="004471EF" w:rsidP="004471EF">
            <w:pPr>
              <w:spacing w:after="60"/>
              <w:jc w:val="both"/>
              <w:rPr>
                <w:rFonts w:asciiTheme="minorHAnsi" w:hAnsiTheme="minorHAnsi" w:cstheme="minorHAnsi"/>
                <w:i/>
                <w:color w:val="4F6228" w:themeColor="accent3" w:themeShade="80"/>
                <w:sz w:val="22"/>
                <w:szCs w:val="22"/>
              </w:rPr>
            </w:pPr>
          </w:p>
        </w:tc>
        <w:tc>
          <w:tcPr>
            <w:tcW w:w="5844" w:type="dxa"/>
            <w:shd w:val="clear" w:color="auto" w:fill="auto"/>
          </w:tcPr>
          <w:p w:rsidR="004471EF" w:rsidRPr="00FE3BD4" w:rsidRDefault="004471EF" w:rsidP="004471EF">
            <w:pPr>
              <w:spacing w:after="60"/>
              <w:jc w:val="both"/>
              <w:rPr>
                <w:rFonts w:asciiTheme="minorHAnsi" w:hAnsiTheme="minorHAnsi" w:cstheme="minorHAnsi"/>
                <w:sz w:val="22"/>
                <w:szCs w:val="22"/>
              </w:rPr>
            </w:pPr>
            <w:r w:rsidRPr="00FE3BD4">
              <w:rPr>
                <w:rFonts w:asciiTheme="minorHAnsi" w:hAnsiTheme="minorHAnsi" w:cstheme="minorHAnsi"/>
                <w:sz w:val="22"/>
                <w:szCs w:val="22"/>
              </w:rPr>
              <w:t xml:space="preserve">Erection of two storey extension to side and addition of new first floor and room in the roof </w:t>
            </w:r>
            <w:r>
              <w:rPr>
                <w:rFonts w:asciiTheme="minorHAnsi" w:hAnsiTheme="minorHAnsi" w:cstheme="minorHAnsi"/>
                <w:sz w:val="22"/>
                <w:szCs w:val="22"/>
              </w:rPr>
              <w:t>and changes to the fenestration</w:t>
            </w:r>
          </w:p>
        </w:tc>
      </w:tr>
      <w:tr w:rsidR="004471EF" w:rsidRPr="00FE3BD4" w:rsidTr="004471EF">
        <w:tc>
          <w:tcPr>
            <w:tcW w:w="2802" w:type="dxa"/>
            <w:shd w:val="clear" w:color="auto" w:fill="auto"/>
          </w:tcPr>
          <w:p w:rsidR="004471EF" w:rsidRPr="004471EF" w:rsidRDefault="004471EF" w:rsidP="004471EF">
            <w:pPr>
              <w:spacing w:after="60"/>
              <w:jc w:val="both"/>
              <w:rPr>
                <w:rFonts w:asciiTheme="minorHAnsi" w:hAnsiTheme="minorHAnsi" w:cstheme="minorHAnsi"/>
                <w:i/>
                <w:color w:val="4F6228" w:themeColor="accent3" w:themeShade="80"/>
                <w:sz w:val="22"/>
                <w:szCs w:val="22"/>
              </w:rPr>
            </w:pPr>
            <w:r w:rsidRPr="004471EF">
              <w:rPr>
                <w:rFonts w:asciiTheme="minorHAnsi" w:hAnsiTheme="minorHAnsi" w:cstheme="minorHAnsi"/>
                <w:i/>
                <w:color w:val="4F6228" w:themeColor="accent3" w:themeShade="80"/>
                <w:sz w:val="22"/>
                <w:szCs w:val="22"/>
              </w:rPr>
              <w:t>Reason for Refusal:</w:t>
            </w:r>
          </w:p>
        </w:tc>
        <w:tc>
          <w:tcPr>
            <w:tcW w:w="5844" w:type="dxa"/>
            <w:shd w:val="clear" w:color="auto" w:fill="auto"/>
          </w:tcPr>
          <w:p w:rsidR="004471EF" w:rsidRPr="00FE3BD4" w:rsidRDefault="004471EF" w:rsidP="004471EF">
            <w:pPr>
              <w:spacing w:after="60"/>
              <w:jc w:val="both"/>
              <w:rPr>
                <w:rFonts w:asciiTheme="minorHAnsi" w:hAnsiTheme="minorHAnsi" w:cstheme="minorHAnsi"/>
                <w:sz w:val="22"/>
                <w:szCs w:val="22"/>
              </w:rPr>
            </w:pPr>
            <w:r w:rsidRPr="00FE3BD4">
              <w:rPr>
                <w:rFonts w:asciiTheme="minorHAnsi" w:hAnsiTheme="minorHAnsi" w:cstheme="minorHAnsi"/>
                <w:sz w:val="22"/>
                <w:szCs w:val="22"/>
              </w:rPr>
              <w:t>Impact on conservation area</w:t>
            </w:r>
          </w:p>
        </w:tc>
      </w:tr>
    </w:tbl>
    <w:p w:rsidR="004471EF" w:rsidRPr="00FE3BD4" w:rsidRDefault="004471EF" w:rsidP="004471EF">
      <w:pPr>
        <w:jc w:val="both"/>
        <w:rPr>
          <w:sz w:val="22"/>
          <w:szCs w:val="22"/>
        </w:rPr>
      </w:pPr>
    </w:p>
    <w:p w:rsidR="004471EF" w:rsidRPr="004471EF" w:rsidRDefault="004471EF" w:rsidP="004335B5">
      <w:pPr>
        <w:pStyle w:val="ListParagraph"/>
        <w:numPr>
          <w:ilvl w:val="0"/>
          <w:numId w:val="7"/>
        </w:numPr>
        <w:jc w:val="both"/>
        <w:rPr>
          <w:rFonts w:asciiTheme="minorHAnsi" w:hAnsiTheme="minorHAnsi" w:cstheme="minorHAnsi"/>
          <w:sz w:val="22"/>
          <w:szCs w:val="22"/>
        </w:rPr>
      </w:pPr>
      <w:r w:rsidRPr="004471EF">
        <w:rPr>
          <w:rFonts w:asciiTheme="minorHAnsi" w:hAnsiTheme="minorHAnsi" w:cstheme="minorHAnsi"/>
          <w:sz w:val="22"/>
          <w:szCs w:val="22"/>
        </w:rPr>
        <w:t>This means that 83% of appeals citing conserva</w:t>
      </w:r>
      <w:r w:rsidR="00564DFD">
        <w:rPr>
          <w:rFonts w:asciiTheme="minorHAnsi" w:hAnsiTheme="minorHAnsi" w:cstheme="minorHAnsi"/>
          <w:sz w:val="22"/>
          <w:szCs w:val="22"/>
        </w:rPr>
        <w:t>tion area policies as reasons for</w:t>
      </w:r>
      <w:r w:rsidRPr="004471EF">
        <w:rPr>
          <w:rFonts w:asciiTheme="minorHAnsi" w:hAnsiTheme="minorHAnsi" w:cstheme="minorHAnsi"/>
          <w:sz w:val="22"/>
          <w:szCs w:val="22"/>
        </w:rPr>
        <w:t xml:space="preserve"> refusal were dismissed</w:t>
      </w:r>
      <w:r w:rsidR="00564DFD">
        <w:rPr>
          <w:rFonts w:asciiTheme="minorHAnsi" w:hAnsiTheme="minorHAnsi" w:cstheme="minorHAnsi"/>
          <w:sz w:val="22"/>
          <w:szCs w:val="22"/>
        </w:rPr>
        <w:t xml:space="preserve"> in 2013/14,</w:t>
      </w:r>
      <w:r w:rsidRPr="004471EF">
        <w:rPr>
          <w:rFonts w:asciiTheme="minorHAnsi" w:hAnsiTheme="minorHAnsi" w:cstheme="minorHAnsi"/>
          <w:sz w:val="22"/>
          <w:szCs w:val="22"/>
        </w:rPr>
        <w:t xml:space="preserve"> in line with the</w:t>
      </w:r>
      <w:r w:rsidR="00564DFD">
        <w:rPr>
          <w:rFonts w:asciiTheme="minorHAnsi" w:hAnsiTheme="minorHAnsi" w:cstheme="minorHAnsi"/>
          <w:sz w:val="22"/>
          <w:szCs w:val="22"/>
        </w:rPr>
        <w:t xml:space="preserve"> Core Strategy</w:t>
      </w:r>
      <w:r w:rsidRPr="004471EF">
        <w:rPr>
          <w:rFonts w:asciiTheme="minorHAnsi" w:hAnsiTheme="minorHAnsi" w:cstheme="minorHAnsi"/>
          <w:sz w:val="22"/>
          <w:szCs w:val="22"/>
        </w:rPr>
        <w:t xml:space="preserve"> target.</w:t>
      </w:r>
      <w:r w:rsidR="00564DFD">
        <w:rPr>
          <w:rFonts w:asciiTheme="minorHAnsi" w:hAnsiTheme="minorHAnsi" w:cstheme="minorHAnsi"/>
          <w:sz w:val="22"/>
          <w:szCs w:val="22"/>
        </w:rPr>
        <w:t xml:space="preserve"> Performance against this indicator in re</w:t>
      </w:r>
      <w:r w:rsidR="00E92A7D">
        <w:rPr>
          <w:rFonts w:asciiTheme="minorHAnsi" w:hAnsiTheme="minorHAnsi" w:cstheme="minorHAnsi"/>
          <w:sz w:val="22"/>
          <w:szCs w:val="22"/>
        </w:rPr>
        <w:t xml:space="preserve">cent </w:t>
      </w:r>
      <w:r w:rsidR="008B306D">
        <w:rPr>
          <w:rFonts w:asciiTheme="minorHAnsi" w:hAnsiTheme="minorHAnsi" w:cstheme="minorHAnsi"/>
          <w:sz w:val="22"/>
          <w:szCs w:val="22"/>
        </w:rPr>
        <w:t>years is shown in Figure 29</w:t>
      </w:r>
      <w:r w:rsidR="00564DFD">
        <w:rPr>
          <w:rFonts w:asciiTheme="minorHAnsi" w:hAnsiTheme="minorHAnsi" w:cstheme="minorHAnsi"/>
          <w:sz w:val="22"/>
          <w:szCs w:val="22"/>
        </w:rPr>
        <w:t>.</w:t>
      </w:r>
    </w:p>
    <w:p w:rsidR="00EE0F6F" w:rsidRDefault="00EE0F6F" w:rsidP="00C97332">
      <w:pPr>
        <w:jc w:val="both"/>
        <w:rPr>
          <w:rFonts w:asciiTheme="minorHAnsi" w:hAnsiTheme="minorHAnsi" w:cstheme="minorHAnsi"/>
          <w:sz w:val="22"/>
          <w:szCs w:val="22"/>
        </w:rPr>
      </w:pPr>
    </w:p>
    <w:tbl>
      <w:tblPr>
        <w:tblStyle w:val="MediumGrid1-Accent3"/>
        <w:tblW w:w="0" w:type="auto"/>
        <w:tblInd w:w="250" w:type="dxa"/>
        <w:tblLook w:val="04A0" w:firstRow="1" w:lastRow="0" w:firstColumn="1" w:lastColumn="0" w:noHBand="0" w:noVBand="1"/>
      </w:tblPr>
      <w:tblGrid>
        <w:gridCol w:w="4536"/>
        <w:gridCol w:w="1323"/>
        <w:gridCol w:w="1323"/>
        <w:gridCol w:w="1323"/>
      </w:tblGrid>
      <w:tr w:rsidR="007C6EEA" w:rsidTr="00B43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tcBorders>
            <w:shd w:val="clear" w:color="auto" w:fill="FFFFFF" w:themeFill="background1"/>
          </w:tcPr>
          <w:p w:rsidR="007C6EEA" w:rsidRPr="005D6AEF" w:rsidRDefault="007C6EEA" w:rsidP="00C97332">
            <w:pPr>
              <w:jc w:val="both"/>
              <w:rPr>
                <w:rFonts w:asciiTheme="minorHAnsi" w:hAnsiTheme="minorHAnsi" w:cstheme="minorHAnsi"/>
                <w:b w:val="0"/>
                <w:color w:val="262626" w:themeColor="text1" w:themeTint="D9"/>
                <w:sz w:val="20"/>
                <w:szCs w:val="22"/>
              </w:rPr>
            </w:pPr>
          </w:p>
        </w:tc>
        <w:tc>
          <w:tcPr>
            <w:tcW w:w="1323" w:type="dxa"/>
            <w:shd w:val="clear" w:color="auto" w:fill="D6E3BC" w:themeFill="accent3" w:themeFillTint="66"/>
          </w:tcPr>
          <w:p w:rsidR="007C6EEA" w:rsidRPr="00935B9C" w:rsidRDefault="0005002F" w:rsidP="007C6E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935B9C">
              <w:rPr>
                <w:rFonts w:asciiTheme="minorHAnsi" w:hAnsiTheme="minorHAnsi" w:cstheme="minorHAnsi"/>
                <w:color w:val="262626" w:themeColor="text1" w:themeTint="D9"/>
                <w:sz w:val="20"/>
                <w:szCs w:val="22"/>
              </w:rPr>
              <w:t>2011/12</w:t>
            </w:r>
          </w:p>
        </w:tc>
        <w:tc>
          <w:tcPr>
            <w:tcW w:w="1323" w:type="dxa"/>
            <w:shd w:val="clear" w:color="auto" w:fill="D6E3BC" w:themeFill="accent3" w:themeFillTint="66"/>
          </w:tcPr>
          <w:p w:rsidR="007C6EEA" w:rsidRPr="00935B9C" w:rsidRDefault="007C6EEA" w:rsidP="007C6E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935B9C">
              <w:rPr>
                <w:rFonts w:asciiTheme="minorHAnsi" w:hAnsiTheme="minorHAnsi" w:cstheme="minorHAnsi"/>
                <w:color w:val="262626" w:themeColor="text1" w:themeTint="D9"/>
                <w:sz w:val="20"/>
                <w:szCs w:val="22"/>
              </w:rPr>
              <w:t>2012/13</w:t>
            </w:r>
          </w:p>
        </w:tc>
        <w:tc>
          <w:tcPr>
            <w:tcW w:w="1323" w:type="dxa"/>
            <w:shd w:val="clear" w:color="auto" w:fill="D6E3BC" w:themeFill="accent3" w:themeFillTint="66"/>
          </w:tcPr>
          <w:p w:rsidR="007C6EEA" w:rsidRPr="00935B9C" w:rsidRDefault="007C6EEA" w:rsidP="007C6E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935B9C">
              <w:rPr>
                <w:rFonts w:asciiTheme="minorHAnsi" w:hAnsiTheme="minorHAnsi" w:cstheme="minorHAnsi"/>
                <w:color w:val="262626" w:themeColor="text1" w:themeTint="D9"/>
                <w:sz w:val="20"/>
                <w:szCs w:val="22"/>
              </w:rPr>
              <w:t>2013/14</w:t>
            </w:r>
          </w:p>
        </w:tc>
      </w:tr>
      <w:tr w:rsidR="007C6EEA" w:rsidTr="00B43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tcPr>
          <w:p w:rsidR="007C6EEA" w:rsidRPr="00935B9C" w:rsidRDefault="007C6EEA" w:rsidP="007C6EEA">
            <w:pPr>
              <w:rPr>
                <w:rFonts w:asciiTheme="minorHAnsi" w:hAnsiTheme="minorHAnsi" w:cstheme="minorHAnsi"/>
                <w:b w:val="0"/>
                <w:color w:val="262626" w:themeColor="text1" w:themeTint="D9"/>
                <w:sz w:val="20"/>
                <w:szCs w:val="22"/>
              </w:rPr>
            </w:pPr>
            <w:r w:rsidRPr="00935B9C">
              <w:rPr>
                <w:rFonts w:asciiTheme="minorHAnsi" w:hAnsiTheme="minorHAnsi" w:cstheme="minorHAnsi"/>
                <w:b w:val="0"/>
                <w:color w:val="262626" w:themeColor="text1" w:themeTint="D9"/>
                <w:sz w:val="20"/>
                <w:szCs w:val="22"/>
              </w:rPr>
              <w:t>Number of appeals where conservation policies were cited as a reason for refusal</w:t>
            </w:r>
          </w:p>
        </w:tc>
        <w:tc>
          <w:tcPr>
            <w:tcW w:w="1323" w:type="dxa"/>
            <w:shd w:val="clear" w:color="auto" w:fill="FFFFFF" w:themeFill="background1"/>
          </w:tcPr>
          <w:p w:rsidR="007C6EEA" w:rsidRPr="005D6AEF" w:rsidRDefault="007C6EEA" w:rsidP="007C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3</w:t>
            </w:r>
          </w:p>
        </w:tc>
        <w:tc>
          <w:tcPr>
            <w:tcW w:w="1323" w:type="dxa"/>
            <w:shd w:val="clear" w:color="auto" w:fill="FFFFFF" w:themeFill="background1"/>
          </w:tcPr>
          <w:p w:rsidR="007C6EEA" w:rsidRPr="005D6AEF" w:rsidRDefault="007C6EEA" w:rsidP="007C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11</w:t>
            </w:r>
          </w:p>
        </w:tc>
        <w:tc>
          <w:tcPr>
            <w:tcW w:w="1323" w:type="dxa"/>
            <w:shd w:val="clear" w:color="auto" w:fill="FFFFFF" w:themeFill="background1"/>
          </w:tcPr>
          <w:p w:rsidR="007C6EEA" w:rsidRPr="005D6AEF" w:rsidRDefault="007C6EEA" w:rsidP="007C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6</w:t>
            </w:r>
          </w:p>
        </w:tc>
      </w:tr>
      <w:tr w:rsidR="007C6EEA" w:rsidTr="00B43422">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tcPr>
          <w:p w:rsidR="007C6EEA" w:rsidRPr="00935B9C" w:rsidRDefault="007C6EEA" w:rsidP="00C97332">
            <w:pPr>
              <w:jc w:val="both"/>
              <w:rPr>
                <w:rFonts w:asciiTheme="minorHAnsi" w:hAnsiTheme="minorHAnsi" w:cstheme="minorHAnsi"/>
                <w:b w:val="0"/>
                <w:color w:val="262626" w:themeColor="text1" w:themeTint="D9"/>
                <w:sz w:val="20"/>
                <w:szCs w:val="22"/>
              </w:rPr>
            </w:pPr>
            <w:r w:rsidRPr="00935B9C">
              <w:rPr>
                <w:rFonts w:asciiTheme="minorHAnsi" w:hAnsiTheme="minorHAnsi" w:cstheme="minorHAnsi"/>
                <w:b w:val="0"/>
                <w:color w:val="262626" w:themeColor="text1" w:themeTint="D9"/>
                <w:sz w:val="20"/>
                <w:szCs w:val="22"/>
              </w:rPr>
              <w:t>Number of these appeals that were allowed</w:t>
            </w:r>
          </w:p>
        </w:tc>
        <w:tc>
          <w:tcPr>
            <w:tcW w:w="1323" w:type="dxa"/>
            <w:shd w:val="clear" w:color="auto" w:fill="FFFFFF" w:themeFill="background1"/>
          </w:tcPr>
          <w:p w:rsidR="007C6EEA" w:rsidRPr="005D6AEF" w:rsidRDefault="007C6EEA" w:rsidP="000500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 xml:space="preserve">3 </w:t>
            </w:r>
          </w:p>
        </w:tc>
        <w:tc>
          <w:tcPr>
            <w:tcW w:w="1323" w:type="dxa"/>
            <w:shd w:val="clear" w:color="auto" w:fill="FFFFFF" w:themeFill="background1"/>
          </w:tcPr>
          <w:p w:rsidR="007C6EEA" w:rsidRPr="005D6AEF" w:rsidRDefault="007C6EEA" w:rsidP="000500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 xml:space="preserve">2  </w:t>
            </w:r>
          </w:p>
        </w:tc>
        <w:tc>
          <w:tcPr>
            <w:tcW w:w="1323" w:type="dxa"/>
            <w:shd w:val="clear" w:color="auto" w:fill="FFFFFF" w:themeFill="background1"/>
          </w:tcPr>
          <w:p w:rsidR="007C6EEA" w:rsidRPr="005D6AEF" w:rsidRDefault="007C6EEA" w:rsidP="000500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2"/>
              </w:rPr>
            </w:pPr>
            <w:r w:rsidRPr="005D6AEF">
              <w:rPr>
                <w:rFonts w:asciiTheme="minorHAnsi" w:hAnsiTheme="minorHAnsi" w:cstheme="minorHAnsi"/>
                <w:color w:val="262626" w:themeColor="text1" w:themeTint="D9"/>
                <w:sz w:val="20"/>
                <w:szCs w:val="22"/>
              </w:rPr>
              <w:t>1</w:t>
            </w:r>
          </w:p>
        </w:tc>
      </w:tr>
      <w:tr w:rsidR="0005002F" w:rsidTr="00B43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D6E3BC" w:themeFill="accent3" w:themeFillTint="66"/>
          </w:tcPr>
          <w:p w:rsidR="0005002F" w:rsidRPr="00935B9C" w:rsidRDefault="0005002F" w:rsidP="00C97332">
            <w:pPr>
              <w:jc w:val="both"/>
              <w:rPr>
                <w:rFonts w:asciiTheme="minorHAnsi" w:hAnsiTheme="minorHAnsi" w:cstheme="minorHAnsi"/>
                <w:color w:val="262626" w:themeColor="text1" w:themeTint="D9"/>
                <w:sz w:val="20"/>
                <w:szCs w:val="22"/>
              </w:rPr>
            </w:pPr>
            <w:r w:rsidRPr="00935B9C">
              <w:rPr>
                <w:rFonts w:asciiTheme="minorHAnsi" w:hAnsiTheme="minorHAnsi" w:cstheme="minorHAnsi"/>
                <w:color w:val="262626" w:themeColor="text1" w:themeTint="D9"/>
                <w:sz w:val="20"/>
                <w:szCs w:val="22"/>
              </w:rPr>
              <w:t>Percentage of these appeals that were dismissed</w:t>
            </w:r>
          </w:p>
        </w:tc>
        <w:tc>
          <w:tcPr>
            <w:tcW w:w="1323" w:type="dxa"/>
            <w:shd w:val="clear" w:color="auto" w:fill="FFFFFF" w:themeFill="background1"/>
          </w:tcPr>
          <w:p w:rsidR="0005002F" w:rsidRPr="00B43422" w:rsidRDefault="0005002F" w:rsidP="000500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62626" w:themeColor="text1" w:themeTint="D9"/>
                <w:sz w:val="20"/>
                <w:szCs w:val="22"/>
              </w:rPr>
            </w:pPr>
            <w:r w:rsidRPr="00B43422">
              <w:rPr>
                <w:rFonts w:asciiTheme="minorHAnsi" w:hAnsiTheme="minorHAnsi" w:cstheme="minorHAnsi"/>
                <w:b/>
                <w:color w:val="262626" w:themeColor="text1" w:themeTint="D9"/>
                <w:sz w:val="20"/>
                <w:szCs w:val="22"/>
              </w:rPr>
              <w:t>0%</w:t>
            </w:r>
          </w:p>
        </w:tc>
        <w:tc>
          <w:tcPr>
            <w:tcW w:w="1323" w:type="dxa"/>
            <w:shd w:val="clear" w:color="auto" w:fill="FFFFFF" w:themeFill="background1"/>
          </w:tcPr>
          <w:p w:rsidR="0005002F" w:rsidRPr="00B43422" w:rsidRDefault="0005002F" w:rsidP="007C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62626" w:themeColor="text1" w:themeTint="D9"/>
                <w:sz w:val="20"/>
                <w:szCs w:val="22"/>
              </w:rPr>
            </w:pPr>
            <w:r w:rsidRPr="00B43422">
              <w:rPr>
                <w:rFonts w:asciiTheme="minorHAnsi" w:hAnsiTheme="minorHAnsi" w:cstheme="minorHAnsi"/>
                <w:b/>
                <w:color w:val="262626" w:themeColor="text1" w:themeTint="D9"/>
                <w:sz w:val="20"/>
                <w:szCs w:val="22"/>
              </w:rPr>
              <w:t>82%</w:t>
            </w:r>
          </w:p>
        </w:tc>
        <w:tc>
          <w:tcPr>
            <w:tcW w:w="1323" w:type="dxa"/>
            <w:shd w:val="clear" w:color="auto" w:fill="FFFFFF" w:themeFill="background1"/>
          </w:tcPr>
          <w:p w:rsidR="0005002F" w:rsidRPr="00B43422" w:rsidRDefault="0005002F" w:rsidP="007C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62626" w:themeColor="text1" w:themeTint="D9"/>
                <w:sz w:val="20"/>
                <w:szCs w:val="22"/>
              </w:rPr>
            </w:pPr>
            <w:r w:rsidRPr="00B43422">
              <w:rPr>
                <w:rFonts w:asciiTheme="minorHAnsi" w:hAnsiTheme="minorHAnsi" w:cstheme="minorHAnsi"/>
                <w:b/>
                <w:color w:val="262626" w:themeColor="text1" w:themeTint="D9"/>
                <w:sz w:val="20"/>
                <w:szCs w:val="22"/>
              </w:rPr>
              <w:t>83%</w:t>
            </w:r>
          </w:p>
        </w:tc>
      </w:tr>
    </w:tbl>
    <w:p w:rsidR="00935B9C" w:rsidRPr="00935B9C" w:rsidRDefault="00935B9C" w:rsidP="005D6AEF">
      <w:pPr>
        <w:jc w:val="center"/>
        <w:rPr>
          <w:rFonts w:asciiTheme="minorHAnsi" w:hAnsiTheme="minorHAnsi" w:cstheme="minorHAnsi"/>
          <w:b/>
          <w:sz w:val="4"/>
          <w:szCs w:val="4"/>
        </w:rPr>
      </w:pPr>
    </w:p>
    <w:p w:rsidR="00CA63A4" w:rsidRDefault="00EF6B97" w:rsidP="005D6AEF">
      <w:pPr>
        <w:jc w:val="center"/>
        <w:rPr>
          <w:rFonts w:asciiTheme="minorHAnsi" w:hAnsiTheme="minorHAnsi" w:cstheme="minorHAnsi"/>
          <w:sz w:val="20"/>
          <w:szCs w:val="22"/>
        </w:rPr>
      </w:pPr>
      <w:r>
        <w:rPr>
          <w:rFonts w:asciiTheme="minorHAnsi" w:hAnsiTheme="minorHAnsi" w:cstheme="minorHAnsi"/>
          <w:b/>
          <w:sz w:val="20"/>
          <w:szCs w:val="22"/>
        </w:rPr>
        <w:t xml:space="preserve">Figure </w:t>
      </w:r>
      <w:r w:rsidR="008B306D">
        <w:rPr>
          <w:rFonts w:asciiTheme="minorHAnsi" w:hAnsiTheme="minorHAnsi" w:cstheme="minorHAnsi"/>
          <w:b/>
          <w:sz w:val="20"/>
          <w:szCs w:val="22"/>
        </w:rPr>
        <w:t>29</w:t>
      </w:r>
      <w:r>
        <w:rPr>
          <w:rFonts w:asciiTheme="minorHAnsi" w:hAnsiTheme="minorHAnsi" w:cstheme="minorHAnsi"/>
          <w:b/>
          <w:sz w:val="20"/>
          <w:szCs w:val="22"/>
        </w:rPr>
        <w:t xml:space="preserve">: </w:t>
      </w:r>
      <w:r w:rsidR="00CA63A4" w:rsidRPr="00CA63A4">
        <w:rPr>
          <w:rFonts w:asciiTheme="minorHAnsi" w:hAnsiTheme="minorHAnsi" w:cstheme="minorHAnsi"/>
          <w:sz w:val="20"/>
          <w:szCs w:val="22"/>
        </w:rPr>
        <w:t xml:space="preserve">Number of appeals where conservation policies were </w:t>
      </w:r>
    </w:p>
    <w:p w:rsidR="007C6EEA" w:rsidRPr="005D6AEF" w:rsidRDefault="00CA63A4" w:rsidP="005D6AEF">
      <w:pPr>
        <w:jc w:val="center"/>
        <w:rPr>
          <w:rFonts w:asciiTheme="minorHAnsi" w:hAnsiTheme="minorHAnsi" w:cstheme="minorHAnsi"/>
          <w:sz w:val="20"/>
          <w:szCs w:val="22"/>
        </w:rPr>
      </w:pPr>
      <w:proofErr w:type="gramStart"/>
      <w:r w:rsidRPr="00CA63A4">
        <w:rPr>
          <w:rFonts w:asciiTheme="minorHAnsi" w:hAnsiTheme="minorHAnsi" w:cstheme="minorHAnsi"/>
          <w:sz w:val="20"/>
          <w:szCs w:val="22"/>
        </w:rPr>
        <w:t>cited</w:t>
      </w:r>
      <w:proofErr w:type="gramEnd"/>
      <w:r w:rsidRPr="00CA63A4">
        <w:rPr>
          <w:rFonts w:asciiTheme="minorHAnsi" w:hAnsiTheme="minorHAnsi" w:cstheme="minorHAnsi"/>
          <w:sz w:val="20"/>
          <w:szCs w:val="22"/>
        </w:rPr>
        <w:t xml:space="preserve"> as a reason for refusal</w:t>
      </w:r>
      <w:r>
        <w:rPr>
          <w:rFonts w:asciiTheme="minorHAnsi" w:hAnsiTheme="minorHAnsi" w:cstheme="minorHAnsi"/>
          <w:sz w:val="20"/>
          <w:szCs w:val="22"/>
        </w:rPr>
        <w:t xml:space="preserve"> 2011-12, 2012/13 &amp; 2013/14</w:t>
      </w:r>
    </w:p>
    <w:p w:rsidR="007C6EEA" w:rsidRPr="00FE3BD4" w:rsidRDefault="007C6EEA" w:rsidP="00C97332">
      <w:pPr>
        <w:jc w:val="both"/>
        <w:rPr>
          <w:rFonts w:asciiTheme="minorHAnsi" w:hAnsiTheme="minorHAnsi" w:cstheme="minorHAnsi"/>
          <w:sz w:val="22"/>
          <w:szCs w:val="22"/>
        </w:rPr>
      </w:pPr>
    </w:p>
    <w:p w:rsidR="00D36778" w:rsidRDefault="0089098C" w:rsidP="00A31762">
      <w:pPr>
        <w:rPr>
          <w:color w:val="632423" w:themeColor="accent2" w:themeShade="80"/>
          <w:sz w:val="22"/>
          <w:szCs w:val="22"/>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22752" behindDoc="1" locked="0" layoutInCell="1" allowOverlap="1" wp14:anchorId="156DB46C" wp14:editId="2CAF57CC">
                <wp:simplePos x="0" y="0"/>
                <wp:positionH relativeFrom="column">
                  <wp:posOffset>-57150</wp:posOffset>
                </wp:positionH>
                <wp:positionV relativeFrom="paragraph">
                  <wp:posOffset>130175</wp:posOffset>
                </wp:positionV>
                <wp:extent cx="5814695" cy="1790700"/>
                <wp:effectExtent l="0" t="0" r="0" b="0"/>
                <wp:wrapNone/>
                <wp:docPr id="179" name="Rectangle 179"/>
                <wp:cNvGraphicFramePr/>
                <a:graphic xmlns:a="http://schemas.openxmlformats.org/drawingml/2006/main">
                  <a:graphicData uri="http://schemas.microsoft.com/office/word/2010/wordprocessingShape">
                    <wps:wsp>
                      <wps:cNvSpPr/>
                      <wps:spPr>
                        <a:xfrm>
                          <a:off x="0" y="0"/>
                          <a:ext cx="5814695" cy="1790700"/>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4.5pt;margin-top:10.25pt;width:457.85pt;height:14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" fillcolor="#c2d69b [1942]" stroked="f" strokeweight="2pt"/>
            </w:pict>
          </mc:Fallback>
        </mc:AlternateContent>
      </w:r>
    </w:p>
    <w:p w:rsidR="00FD3E84" w:rsidRPr="000B530E" w:rsidRDefault="00FD3E84" w:rsidP="00FD3E84">
      <w:pPr>
        <w:autoSpaceDE w:val="0"/>
        <w:autoSpaceDN w:val="0"/>
        <w:adjustRightInd w:val="0"/>
        <w:jc w:val="both"/>
        <w:rPr>
          <w:rFonts w:ascii="Calibri" w:eastAsia="Calibri" w:hAnsi="Calibri" w:cs="Calibri"/>
          <w:color w:val="3F4F21"/>
        </w:rPr>
      </w:pPr>
      <w:r>
        <w:rPr>
          <w:rFonts w:ascii="Calibri" w:eastAsia="Calibri" w:hAnsi="Calibri" w:cs="Calibri"/>
          <w:b/>
          <w:color w:val="3F4F21"/>
        </w:rPr>
        <w:t>I</w:t>
      </w:r>
      <w:r w:rsidRPr="000B530E">
        <w:rPr>
          <w:rFonts w:ascii="Calibri" w:eastAsia="Calibri" w:hAnsi="Calibri" w:cs="Calibri"/>
          <w:b/>
          <w:color w:val="3F4F21"/>
        </w:rPr>
        <w:t xml:space="preserve">ndicator </w:t>
      </w:r>
      <w:r>
        <w:rPr>
          <w:rFonts w:ascii="Calibri" w:eastAsia="Calibri" w:hAnsi="Calibri" w:cs="Calibri"/>
          <w:b/>
          <w:color w:val="3F4F21"/>
        </w:rPr>
        <w:t>31</w:t>
      </w:r>
      <w:r w:rsidRPr="000B530E">
        <w:rPr>
          <w:rFonts w:ascii="Calibri" w:eastAsia="Calibri" w:hAnsi="Calibri" w:cs="Calibri"/>
          <w:b/>
          <w:color w:val="3F4F21"/>
        </w:rPr>
        <w:t xml:space="preserve">: </w:t>
      </w:r>
      <w:r>
        <w:rPr>
          <w:rFonts w:ascii="Calibri" w:eastAsia="Calibri" w:hAnsi="Calibri" w:cs="Calibri"/>
          <w:b/>
          <w:color w:val="3F4F21"/>
        </w:rPr>
        <w:t>TREE PRESERVATION ORDERS (TPOs)</w:t>
      </w:r>
    </w:p>
    <w:p w:rsidR="00FD3E84" w:rsidRPr="000B530E" w:rsidRDefault="00FD3E84" w:rsidP="00FD3E84">
      <w:pPr>
        <w:autoSpaceDE w:val="0"/>
        <w:autoSpaceDN w:val="0"/>
        <w:adjustRightInd w:val="0"/>
        <w:jc w:val="both"/>
        <w:rPr>
          <w:rFonts w:ascii="Calibri" w:eastAsia="Calibri" w:hAnsi="Calibri" w:cs="Calibri"/>
          <w:b/>
          <w:color w:val="3F4F21"/>
          <w:sz w:val="10"/>
          <w:szCs w:val="22"/>
        </w:rPr>
      </w:pPr>
    </w:p>
    <w:p w:rsidR="00FD3E84" w:rsidRPr="0089098C" w:rsidRDefault="00FD3E84" w:rsidP="00FD3E84">
      <w:pPr>
        <w:autoSpaceDE w:val="0"/>
        <w:autoSpaceDN w:val="0"/>
        <w:adjustRightInd w:val="0"/>
        <w:jc w:val="both"/>
        <w:rPr>
          <w:rFonts w:ascii="Calibri" w:eastAsia="Calibri" w:hAnsi="Calibri" w:cs="Calibri"/>
          <w:color w:val="4F6228" w:themeColor="accent3" w:themeShade="80"/>
          <w:sz w:val="20"/>
          <w:szCs w:val="22"/>
        </w:rPr>
      </w:pPr>
      <w:r w:rsidRPr="000B530E">
        <w:rPr>
          <w:rFonts w:ascii="Calibri" w:eastAsia="Calibri" w:hAnsi="Calibri" w:cs="Calibri"/>
          <w:b/>
          <w:color w:val="3F4F21"/>
          <w:sz w:val="22"/>
          <w:szCs w:val="22"/>
        </w:rPr>
        <w:t xml:space="preserve">Target: </w:t>
      </w:r>
      <w:r w:rsidRPr="00FD3E84">
        <w:rPr>
          <w:rFonts w:ascii="Calibri" w:eastAsia="Calibri" w:hAnsi="Calibri" w:cs="Calibri"/>
          <w:b/>
          <w:color w:val="3F4F21"/>
          <w:sz w:val="22"/>
          <w:szCs w:val="22"/>
        </w:rPr>
        <w:t xml:space="preserve">0% of applications for felling trees </w:t>
      </w:r>
      <w:r>
        <w:rPr>
          <w:rFonts w:ascii="Calibri" w:eastAsia="Calibri" w:hAnsi="Calibri" w:cs="Calibri"/>
          <w:b/>
          <w:color w:val="3F4F21"/>
          <w:sz w:val="22"/>
          <w:szCs w:val="22"/>
        </w:rPr>
        <w:t>that are the subject of a TPO</w:t>
      </w:r>
      <w:r w:rsidRPr="00FD3E84">
        <w:rPr>
          <w:rFonts w:ascii="Calibri" w:eastAsia="Calibri" w:hAnsi="Calibri" w:cs="Calibri"/>
          <w:b/>
          <w:color w:val="3F4F21"/>
          <w:sz w:val="22"/>
          <w:szCs w:val="22"/>
        </w:rPr>
        <w:t xml:space="preserve"> to be approved by the City Council contrary to officers’ recommendations</w:t>
      </w:r>
      <w:r w:rsidR="0089098C">
        <w:rPr>
          <w:rFonts w:ascii="Calibri" w:eastAsia="Calibri" w:hAnsi="Calibri" w:cs="Calibri"/>
          <w:b/>
          <w:color w:val="3F4F21"/>
          <w:sz w:val="22"/>
          <w:szCs w:val="22"/>
        </w:rPr>
        <w:t xml:space="preserve"> </w:t>
      </w:r>
      <w:r w:rsidR="00A234AB">
        <w:rPr>
          <w:rFonts w:ascii="Calibri" w:eastAsia="Calibri" w:hAnsi="Calibri" w:cs="Calibri"/>
          <w:color w:val="4F6228" w:themeColor="accent3" w:themeShade="80"/>
          <w:sz w:val="20"/>
          <w:szCs w:val="22"/>
        </w:rPr>
        <w:t>(Oxford Core Strategy</w:t>
      </w:r>
      <w:r w:rsidR="0089098C" w:rsidRPr="00EC00D8">
        <w:rPr>
          <w:rFonts w:ascii="Calibri" w:eastAsia="Calibri" w:hAnsi="Calibri" w:cs="Calibri"/>
          <w:color w:val="4F6228" w:themeColor="accent3" w:themeShade="80"/>
          <w:sz w:val="20"/>
          <w:szCs w:val="22"/>
        </w:rPr>
        <w:t xml:space="preserve"> Policy CS</w:t>
      </w:r>
      <w:r w:rsidR="0089098C">
        <w:rPr>
          <w:rFonts w:ascii="Calibri" w:eastAsia="Calibri" w:hAnsi="Calibri" w:cs="Calibri"/>
          <w:color w:val="4F6228" w:themeColor="accent3" w:themeShade="80"/>
          <w:sz w:val="20"/>
          <w:szCs w:val="22"/>
        </w:rPr>
        <w:t>18</w:t>
      </w:r>
      <w:r w:rsidR="0089098C" w:rsidRPr="00EC00D8">
        <w:rPr>
          <w:rFonts w:ascii="Calibri" w:eastAsia="Calibri" w:hAnsi="Calibri" w:cs="Calibri"/>
          <w:color w:val="4F6228" w:themeColor="accent3" w:themeShade="80"/>
          <w:sz w:val="20"/>
          <w:szCs w:val="22"/>
        </w:rPr>
        <w:t>)</w:t>
      </w:r>
    </w:p>
    <w:p w:rsidR="00FD3E84" w:rsidRPr="000B530E" w:rsidRDefault="00FD3E84" w:rsidP="00FD3E84">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FD3E84" w:rsidRPr="000B530E" w:rsidTr="00080674">
        <w:trPr>
          <w:trHeight w:val="218"/>
        </w:trPr>
        <w:tc>
          <w:tcPr>
            <w:tcW w:w="5420" w:type="dxa"/>
          </w:tcPr>
          <w:p w:rsidR="00FD3E84" w:rsidRPr="000B530E" w:rsidRDefault="00FD3E84"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FD3E84" w:rsidRPr="000B530E" w:rsidTr="00080674">
        <w:tc>
          <w:tcPr>
            <w:tcW w:w="5420" w:type="dxa"/>
            <w:vMerge w:val="restart"/>
          </w:tcPr>
          <w:p w:rsidR="00FD3E84" w:rsidRPr="000B530E" w:rsidRDefault="00FD3E84" w:rsidP="00080674">
            <w:pPr>
              <w:autoSpaceDE w:val="0"/>
              <w:autoSpaceDN w:val="0"/>
              <w:adjustRightInd w:val="0"/>
              <w:jc w:val="center"/>
              <w:rPr>
                <w:rFonts w:ascii="Calibri" w:eastAsia="Calibri" w:hAnsi="Calibri" w:cs="Calibri"/>
                <w:b/>
                <w:color w:val="3F4F21"/>
                <w:sz w:val="8"/>
                <w:szCs w:val="8"/>
              </w:rPr>
            </w:pPr>
          </w:p>
          <w:p w:rsidR="00FD3E84" w:rsidRPr="000B530E" w:rsidRDefault="00CC03C9"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5DC7E84D" wp14:editId="5927BED8">
                  <wp:extent cx="1666875" cy="501917"/>
                  <wp:effectExtent l="0" t="0" r="0" b="0"/>
                  <wp:docPr id="11" name="Picture 1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FD3E84" w:rsidRPr="000B530E" w:rsidRDefault="00FC3172"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64D13B62" wp14:editId="49E0136A">
                  <wp:extent cx="1085850" cy="326964"/>
                  <wp:effectExtent l="0" t="0" r="0" b="0"/>
                  <wp:docPr id="180" name="Picture 18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FD3E84" w:rsidRPr="000B530E" w:rsidRDefault="00FD3E84" w:rsidP="00080674">
            <w:pPr>
              <w:autoSpaceDE w:val="0"/>
              <w:autoSpaceDN w:val="0"/>
              <w:adjustRightInd w:val="0"/>
              <w:jc w:val="center"/>
              <w:rPr>
                <w:rFonts w:ascii="Calibri" w:eastAsia="Calibri" w:hAnsi="Calibri" w:cs="Calibri"/>
                <w:b/>
                <w:color w:val="3F4F21"/>
                <w:sz w:val="8"/>
                <w:szCs w:val="8"/>
              </w:rPr>
            </w:pPr>
          </w:p>
        </w:tc>
      </w:tr>
      <w:tr w:rsidR="00FD3E84" w:rsidRPr="000B530E" w:rsidTr="00080674">
        <w:tc>
          <w:tcPr>
            <w:tcW w:w="5420" w:type="dxa"/>
            <w:vMerge/>
          </w:tcPr>
          <w:p w:rsidR="00FD3E84" w:rsidRPr="000B530E" w:rsidRDefault="00FD3E84" w:rsidP="00080674">
            <w:pPr>
              <w:autoSpaceDE w:val="0"/>
              <w:autoSpaceDN w:val="0"/>
              <w:adjustRightInd w:val="0"/>
              <w:jc w:val="center"/>
              <w:rPr>
                <w:rFonts w:ascii="Calibri" w:eastAsia="Calibri" w:hAnsi="Calibri" w:cs="Calibri"/>
                <w:b/>
                <w:color w:val="3F4F21"/>
                <w:sz w:val="22"/>
                <w:szCs w:val="22"/>
              </w:rPr>
            </w:pPr>
          </w:p>
        </w:tc>
        <w:tc>
          <w:tcPr>
            <w:tcW w:w="1101" w:type="dxa"/>
          </w:tcPr>
          <w:p w:rsidR="00FD3E84" w:rsidRPr="000B530E" w:rsidRDefault="00FD3E84"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FD3E84" w:rsidRPr="000B530E" w:rsidRDefault="00FC3172"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3455AA2B" wp14:editId="556DF33C">
                  <wp:extent cx="1085850" cy="326964"/>
                  <wp:effectExtent l="0" t="0" r="0" b="0"/>
                  <wp:docPr id="181" name="Picture 18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D97772" w:rsidRDefault="00D97772" w:rsidP="00A31762">
      <w:pPr>
        <w:rPr>
          <w:color w:val="632423" w:themeColor="accent2" w:themeShade="80"/>
          <w:sz w:val="22"/>
          <w:szCs w:val="22"/>
        </w:rPr>
      </w:pPr>
    </w:p>
    <w:p w:rsidR="00620420" w:rsidRDefault="00620420" w:rsidP="00A31762">
      <w:pPr>
        <w:rPr>
          <w:color w:val="632423" w:themeColor="accent2" w:themeShade="80"/>
          <w:sz w:val="22"/>
          <w:szCs w:val="22"/>
        </w:rPr>
      </w:pPr>
    </w:p>
    <w:p w:rsidR="00D36778" w:rsidRPr="00564DFD" w:rsidRDefault="00564DFD"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There were </w:t>
      </w:r>
      <w:r w:rsidRPr="00CC03C9">
        <w:rPr>
          <w:rFonts w:ascii="Calibri" w:eastAsia="Calibri" w:hAnsi="Calibri" w:cs="Times New Roman"/>
          <w:sz w:val="22"/>
          <w:szCs w:val="22"/>
        </w:rPr>
        <w:t>no</w:t>
      </w:r>
      <w:r>
        <w:rPr>
          <w:rFonts w:ascii="Calibri" w:eastAsia="Calibri" w:hAnsi="Calibri" w:cs="Times New Roman"/>
          <w:sz w:val="22"/>
          <w:szCs w:val="22"/>
        </w:rPr>
        <w:t xml:space="preserve"> permissions granted for the felling of trees subject to a TPO contrary to</w:t>
      </w:r>
      <w:r w:rsidR="00CC03C9">
        <w:rPr>
          <w:rFonts w:ascii="Calibri" w:eastAsia="Calibri" w:hAnsi="Calibri" w:cs="Times New Roman"/>
          <w:sz w:val="22"/>
          <w:szCs w:val="22"/>
        </w:rPr>
        <w:t xml:space="preserve"> officers’ recommendations in 2013/14.</w:t>
      </w:r>
    </w:p>
    <w:p w:rsidR="006E38B9" w:rsidRPr="000B530E" w:rsidRDefault="00CA63A4" w:rsidP="006E38B9">
      <w:pPr>
        <w:autoSpaceDE w:val="0"/>
        <w:autoSpaceDN w:val="0"/>
        <w:adjustRightInd w:val="0"/>
        <w:jc w:val="both"/>
        <w:rPr>
          <w:rFonts w:ascii="Calibri" w:eastAsia="Calibri" w:hAnsi="Calibri" w:cs="Calibri"/>
          <w:color w:val="3F4F21"/>
        </w:rPr>
      </w:pPr>
      <w:r w:rsidRPr="00483A6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66784" behindDoc="0" locked="0" layoutInCell="1" allowOverlap="1" wp14:anchorId="761926CD" wp14:editId="3DF276CA">
                <wp:simplePos x="0" y="0"/>
                <wp:positionH relativeFrom="column">
                  <wp:posOffset>3333750</wp:posOffset>
                </wp:positionH>
                <wp:positionV relativeFrom="paragraph">
                  <wp:posOffset>-587375</wp:posOffset>
                </wp:positionV>
                <wp:extent cx="2427605" cy="3524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79" type="#_x0000_t202" style="position:absolute;left:0;text-align:left;margin-left:262.5pt;margin-top:-46.25pt;width:191.15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" fillcolor="window" stroked="f" strokeweight=".5pt">
                <v:textbox>
                  <w:txbxContent>
                    <w:p w:rsidR="000D3CFF" w:rsidRPr="00483A60" w:rsidRDefault="000D3CFF" w:rsidP="00483A60">
                      <w:pPr>
                        <w:jc w:val="right"/>
                        <w:rPr>
                          <w:b/>
                          <w:color w:val="4F6228" w:themeColor="accent3" w:themeShade="80"/>
                        </w:rPr>
                      </w:pPr>
                      <w:r w:rsidRPr="00483A60">
                        <w:rPr>
                          <w:b/>
                          <w:color w:val="4F6228" w:themeColor="accent3" w:themeShade="80"/>
                        </w:rPr>
                        <w:t>Cleaner, Greener Oxford</w:t>
                      </w:r>
                    </w:p>
                  </w:txbxContent>
                </v:textbox>
              </v:shape>
            </w:pict>
          </mc:Fallback>
        </mc:AlternateContent>
      </w: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24800" behindDoc="1" locked="0" layoutInCell="1" allowOverlap="1" wp14:anchorId="19C40804" wp14:editId="107432C2">
                <wp:simplePos x="0" y="0"/>
                <wp:positionH relativeFrom="column">
                  <wp:posOffset>-146685</wp:posOffset>
                </wp:positionH>
                <wp:positionV relativeFrom="paragraph">
                  <wp:posOffset>-57785</wp:posOffset>
                </wp:positionV>
                <wp:extent cx="5904230" cy="1952625"/>
                <wp:effectExtent l="0" t="0" r="1270" b="9525"/>
                <wp:wrapNone/>
                <wp:docPr id="184" name="Rectangle 184"/>
                <wp:cNvGraphicFramePr/>
                <a:graphic xmlns:a="http://schemas.openxmlformats.org/drawingml/2006/main">
                  <a:graphicData uri="http://schemas.microsoft.com/office/word/2010/wordprocessingShape">
                    <wps:wsp>
                      <wps:cNvSpPr/>
                      <wps:spPr>
                        <a:xfrm>
                          <a:off x="0" y="0"/>
                          <a:ext cx="5904230" cy="195262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o:spid="_x0000_s1026" style="position:absolute;margin-left:-11.55pt;margin-top:-4.55pt;width:464.9pt;height:153.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" fillcolor="#c2d69b [1942]" stroked="f" strokeweight="2pt"/>
            </w:pict>
          </mc:Fallback>
        </mc:AlternateContent>
      </w:r>
      <w:r w:rsidR="006E38B9">
        <w:rPr>
          <w:rFonts w:ascii="Calibri" w:eastAsia="Calibri" w:hAnsi="Calibri" w:cs="Calibri"/>
          <w:b/>
          <w:color w:val="3F4F21"/>
        </w:rPr>
        <w:t>I</w:t>
      </w:r>
      <w:r w:rsidR="006E38B9" w:rsidRPr="000B530E">
        <w:rPr>
          <w:rFonts w:ascii="Calibri" w:eastAsia="Calibri" w:hAnsi="Calibri" w:cs="Calibri"/>
          <w:b/>
          <w:color w:val="3F4F21"/>
        </w:rPr>
        <w:t xml:space="preserve">ndicator </w:t>
      </w:r>
      <w:r w:rsidR="006E38B9">
        <w:rPr>
          <w:rFonts w:ascii="Calibri" w:eastAsia="Calibri" w:hAnsi="Calibri" w:cs="Calibri"/>
          <w:b/>
          <w:color w:val="3F4F21"/>
        </w:rPr>
        <w:t>32</w:t>
      </w:r>
      <w:r w:rsidR="006E38B9" w:rsidRPr="000B530E">
        <w:rPr>
          <w:rFonts w:ascii="Calibri" w:eastAsia="Calibri" w:hAnsi="Calibri" w:cs="Calibri"/>
          <w:b/>
          <w:color w:val="3F4F21"/>
        </w:rPr>
        <w:t xml:space="preserve">: </w:t>
      </w:r>
      <w:r w:rsidR="006E38B9">
        <w:rPr>
          <w:rFonts w:ascii="Calibri" w:eastAsia="Calibri" w:hAnsi="Calibri" w:cs="Calibri"/>
          <w:b/>
          <w:color w:val="3F4F21"/>
        </w:rPr>
        <w:t>LOSS TO OTHER USES OF PUBLIC OPEN SPACE, OUTDOOR SPORTS AND RECREATION FACILITIES</w:t>
      </w:r>
    </w:p>
    <w:p w:rsidR="006E38B9" w:rsidRPr="000B530E" w:rsidRDefault="006E38B9" w:rsidP="006E38B9">
      <w:pPr>
        <w:autoSpaceDE w:val="0"/>
        <w:autoSpaceDN w:val="0"/>
        <w:adjustRightInd w:val="0"/>
        <w:jc w:val="both"/>
        <w:rPr>
          <w:rFonts w:ascii="Calibri" w:eastAsia="Calibri" w:hAnsi="Calibri" w:cs="Calibri"/>
          <w:b/>
          <w:color w:val="3F4F21"/>
          <w:sz w:val="10"/>
          <w:szCs w:val="22"/>
        </w:rPr>
      </w:pPr>
    </w:p>
    <w:p w:rsidR="006E38B9" w:rsidRPr="0089098C" w:rsidRDefault="006E38B9" w:rsidP="006E38B9">
      <w:pPr>
        <w:autoSpaceDE w:val="0"/>
        <w:autoSpaceDN w:val="0"/>
        <w:adjustRightInd w:val="0"/>
        <w:jc w:val="both"/>
        <w:rPr>
          <w:rFonts w:ascii="Calibri" w:eastAsia="Calibri" w:hAnsi="Calibri" w:cs="Calibri"/>
          <w:color w:val="4F6228" w:themeColor="accent3" w:themeShade="80"/>
          <w:sz w:val="20"/>
          <w:szCs w:val="22"/>
        </w:rPr>
      </w:pPr>
      <w:r w:rsidRPr="000B530E">
        <w:rPr>
          <w:rFonts w:ascii="Calibri" w:eastAsia="Calibri" w:hAnsi="Calibri" w:cs="Calibri"/>
          <w:b/>
          <w:color w:val="3F4F21"/>
          <w:sz w:val="22"/>
          <w:szCs w:val="22"/>
        </w:rPr>
        <w:t xml:space="preserve">Target: </w:t>
      </w:r>
      <w:r>
        <w:rPr>
          <w:rFonts w:ascii="Calibri" w:eastAsia="Calibri" w:hAnsi="Calibri" w:cs="Calibri"/>
          <w:b/>
          <w:color w:val="3F4F21"/>
          <w:sz w:val="22"/>
          <w:szCs w:val="22"/>
        </w:rPr>
        <w:t xml:space="preserve">No net loss to other uses of publically accessible open space, outdoor sports and recreation facilities </w:t>
      </w:r>
      <w:r w:rsidR="00A234AB">
        <w:rPr>
          <w:rFonts w:ascii="Calibri" w:eastAsia="Calibri" w:hAnsi="Calibri" w:cs="Calibri"/>
          <w:color w:val="4F6228" w:themeColor="accent3" w:themeShade="80"/>
          <w:sz w:val="20"/>
          <w:szCs w:val="22"/>
        </w:rPr>
        <w:t>(Oxford Core Strategy</w:t>
      </w:r>
      <w:r w:rsidR="0089098C" w:rsidRPr="00EC00D8">
        <w:rPr>
          <w:rFonts w:ascii="Calibri" w:eastAsia="Calibri" w:hAnsi="Calibri" w:cs="Calibri"/>
          <w:color w:val="4F6228" w:themeColor="accent3" w:themeShade="80"/>
          <w:sz w:val="20"/>
          <w:szCs w:val="22"/>
        </w:rPr>
        <w:t xml:space="preserve"> Policy CS</w:t>
      </w:r>
      <w:r w:rsidR="0089098C">
        <w:rPr>
          <w:rFonts w:ascii="Calibri" w:eastAsia="Calibri" w:hAnsi="Calibri" w:cs="Calibri"/>
          <w:color w:val="4F6228" w:themeColor="accent3" w:themeShade="80"/>
          <w:sz w:val="20"/>
          <w:szCs w:val="22"/>
        </w:rPr>
        <w:t>21</w:t>
      </w:r>
      <w:r w:rsidR="0089098C" w:rsidRPr="00EC00D8">
        <w:rPr>
          <w:rFonts w:ascii="Calibri" w:eastAsia="Calibri" w:hAnsi="Calibri" w:cs="Calibri"/>
          <w:color w:val="4F6228" w:themeColor="accent3" w:themeShade="80"/>
          <w:sz w:val="20"/>
          <w:szCs w:val="22"/>
        </w:rPr>
        <w:t>)</w:t>
      </w:r>
    </w:p>
    <w:p w:rsidR="006E38B9" w:rsidRPr="000B530E" w:rsidRDefault="006E38B9" w:rsidP="006E38B9">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E38B9" w:rsidRPr="000B530E" w:rsidTr="00080674">
        <w:trPr>
          <w:trHeight w:val="218"/>
        </w:trPr>
        <w:tc>
          <w:tcPr>
            <w:tcW w:w="5420" w:type="dxa"/>
          </w:tcPr>
          <w:p w:rsidR="006E38B9" w:rsidRPr="000B530E" w:rsidRDefault="006E38B9"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6E38B9" w:rsidRPr="000B530E" w:rsidTr="00080674">
        <w:tc>
          <w:tcPr>
            <w:tcW w:w="5420" w:type="dxa"/>
            <w:vMerge w:val="restart"/>
          </w:tcPr>
          <w:p w:rsidR="006E38B9" w:rsidRPr="000B530E" w:rsidRDefault="006E38B9" w:rsidP="00080674">
            <w:pPr>
              <w:autoSpaceDE w:val="0"/>
              <w:autoSpaceDN w:val="0"/>
              <w:adjustRightInd w:val="0"/>
              <w:jc w:val="center"/>
              <w:rPr>
                <w:rFonts w:ascii="Calibri" w:eastAsia="Calibri" w:hAnsi="Calibri" w:cs="Calibri"/>
                <w:b/>
                <w:color w:val="3F4F21"/>
                <w:sz w:val="8"/>
                <w:szCs w:val="8"/>
              </w:rPr>
            </w:pPr>
          </w:p>
          <w:p w:rsidR="006E38B9" w:rsidRPr="000B530E" w:rsidRDefault="00540ED0"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54CC03E2" wp14:editId="31BDD2EA">
                  <wp:extent cx="1666875" cy="501917"/>
                  <wp:effectExtent l="0" t="0" r="0" b="0"/>
                  <wp:docPr id="220" name="Picture 220"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5A511E5E" wp14:editId="7506E14C">
                  <wp:extent cx="1085850" cy="326964"/>
                  <wp:effectExtent l="0" t="0" r="0" b="0"/>
                  <wp:docPr id="182" name="Picture 18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6E38B9" w:rsidRPr="000B530E" w:rsidRDefault="006E38B9" w:rsidP="00080674">
            <w:pPr>
              <w:autoSpaceDE w:val="0"/>
              <w:autoSpaceDN w:val="0"/>
              <w:adjustRightInd w:val="0"/>
              <w:jc w:val="center"/>
              <w:rPr>
                <w:rFonts w:ascii="Calibri" w:eastAsia="Calibri" w:hAnsi="Calibri" w:cs="Calibri"/>
                <w:b/>
                <w:color w:val="3F4F21"/>
                <w:sz w:val="8"/>
                <w:szCs w:val="8"/>
              </w:rPr>
            </w:pPr>
          </w:p>
        </w:tc>
      </w:tr>
      <w:tr w:rsidR="006E38B9" w:rsidRPr="000B530E" w:rsidTr="00080674">
        <w:tc>
          <w:tcPr>
            <w:tcW w:w="5420" w:type="dxa"/>
            <w:vMerge/>
          </w:tcPr>
          <w:p w:rsidR="006E38B9" w:rsidRPr="000B530E" w:rsidRDefault="006E38B9" w:rsidP="00080674">
            <w:pPr>
              <w:autoSpaceDE w:val="0"/>
              <w:autoSpaceDN w:val="0"/>
              <w:adjustRightInd w:val="0"/>
              <w:jc w:val="center"/>
              <w:rPr>
                <w:rFonts w:ascii="Calibri" w:eastAsia="Calibri" w:hAnsi="Calibri" w:cs="Calibri"/>
                <w:b/>
                <w:color w:val="3F4F21"/>
                <w:sz w:val="22"/>
                <w:szCs w:val="22"/>
              </w:rPr>
            </w:pP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6E38B9" w:rsidRPr="000B530E" w:rsidRDefault="006E38B9"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23FE290E" wp14:editId="6879CF15">
                  <wp:extent cx="1085850" cy="326964"/>
                  <wp:effectExtent l="0" t="0" r="0" b="0"/>
                  <wp:docPr id="183" name="Picture 183"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6E38B9" w:rsidRDefault="006E38B9" w:rsidP="00A31762">
      <w:pPr>
        <w:rPr>
          <w:color w:val="632423" w:themeColor="accent2" w:themeShade="80"/>
          <w:sz w:val="22"/>
          <w:szCs w:val="22"/>
        </w:rPr>
      </w:pPr>
    </w:p>
    <w:p w:rsidR="004471EF" w:rsidRPr="006C4EFE" w:rsidRDefault="00564DFD" w:rsidP="004335B5">
      <w:pPr>
        <w:numPr>
          <w:ilvl w:val="0"/>
          <w:numId w:val="7"/>
        </w:numPr>
        <w:spacing w:after="200" w:line="276" w:lineRule="auto"/>
        <w:jc w:val="both"/>
        <w:rPr>
          <w:rFonts w:ascii="Calibri" w:eastAsia="Calibri" w:hAnsi="Calibri" w:cs="Times New Roman"/>
          <w:sz w:val="22"/>
          <w:szCs w:val="22"/>
        </w:rPr>
      </w:pPr>
      <w:r>
        <w:rPr>
          <w:rFonts w:asciiTheme="minorHAnsi" w:hAnsiTheme="minorHAnsi" w:cstheme="minorHAnsi"/>
          <w:sz w:val="22"/>
          <w:szCs w:val="18"/>
          <w:lang w:val="en"/>
        </w:rPr>
        <w:t xml:space="preserve">In 2013/14 </w:t>
      </w:r>
      <w:r w:rsidR="00540ED0">
        <w:rPr>
          <w:rFonts w:asciiTheme="minorHAnsi" w:hAnsiTheme="minorHAnsi" w:cstheme="minorHAnsi"/>
          <w:sz w:val="22"/>
          <w:szCs w:val="18"/>
          <w:lang w:val="en"/>
        </w:rPr>
        <w:t>no</w:t>
      </w:r>
      <w:r>
        <w:rPr>
          <w:rFonts w:asciiTheme="minorHAnsi" w:hAnsiTheme="minorHAnsi" w:cstheme="minorHAnsi"/>
          <w:sz w:val="22"/>
          <w:szCs w:val="18"/>
          <w:lang w:val="en"/>
        </w:rPr>
        <w:t xml:space="preserve"> planning applications were permitted where there would be a net loss of publically accessible open space, outdoor sports </w:t>
      </w:r>
      <w:r w:rsidR="00C12656">
        <w:rPr>
          <w:rFonts w:asciiTheme="minorHAnsi" w:hAnsiTheme="minorHAnsi" w:cstheme="minorHAnsi"/>
          <w:sz w:val="22"/>
          <w:szCs w:val="18"/>
          <w:lang w:val="en"/>
        </w:rPr>
        <w:t>or</w:t>
      </w:r>
      <w:r>
        <w:rPr>
          <w:rFonts w:asciiTheme="minorHAnsi" w:hAnsiTheme="minorHAnsi" w:cstheme="minorHAnsi"/>
          <w:sz w:val="22"/>
          <w:szCs w:val="18"/>
          <w:lang w:val="en"/>
        </w:rPr>
        <w:t xml:space="preserve"> recreation facilities. </w:t>
      </w:r>
    </w:p>
    <w:p w:rsidR="00CA63A4" w:rsidRPr="00BC3377" w:rsidRDefault="006C4EFE" w:rsidP="004335B5">
      <w:pPr>
        <w:numPr>
          <w:ilvl w:val="0"/>
          <w:numId w:val="7"/>
        </w:numPr>
        <w:spacing w:after="200" w:line="276" w:lineRule="auto"/>
        <w:jc w:val="both"/>
        <w:rPr>
          <w:rFonts w:ascii="Calibri" w:eastAsia="Calibri" w:hAnsi="Calibri" w:cs="Times New Roman"/>
          <w:sz w:val="22"/>
          <w:szCs w:val="22"/>
        </w:rPr>
      </w:pPr>
      <w:r>
        <w:rPr>
          <w:rFonts w:asciiTheme="minorHAnsi" w:hAnsiTheme="minorHAnsi" w:cstheme="minorHAnsi"/>
          <w:sz w:val="22"/>
          <w:szCs w:val="18"/>
          <w:lang w:val="en"/>
        </w:rPr>
        <w:t xml:space="preserve">Planning application </w:t>
      </w:r>
      <w:r w:rsidRPr="006C4EFE">
        <w:rPr>
          <w:rFonts w:asciiTheme="minorHAnsi" w:hAnsiTheme="minorHAnsi" w:cstheme="minorHAnsi"/>
          <w:sz w:val="22"/>
          <w:szCs w:val="18"/>
          <w:lang w:val="en"/>
        </w:rPr>
        <w:t>13/00631/FUL</w:t>
      </w:r>
      <w:r>
        <w:rPr>
          <w:rFonts w:asciiTheme="minorHAnsi" w:hAnsiTheme="minorHAnsi" w:cstheme="minorHAnsi"/>
          <w:sz w:val="22"/>
          <w:szCs w:val="18"/>
          <w:lang w:val="en"/>
        </w:rPr>
        <w:t xml:space="preserve"> for the erection of 30 residential units at the former Cricket Ground on Barton Road was approved by committee in July </w:t>
      </w:r>
      <w:proofErr w:type="gramStart"/>
      <w:r>
        <w:rPr>
          <w:rFonts w:asciiTheme="minorHAnsi" w:hAnsiTheme="minorHAnsi" w:cstheme="minorHAnsi"/>
          <w:sz w:val="22"/>
          <w:szCs w:val="18"/>
          <w:lang w:val="en"/>
        </w:rPr>
        <w:t>2013,</w:t>
      </w:r>
      <w:proofErr w:type="gramEnd"/>
      <w:r>
        <w:rPr>
          <w:rFonts w:asciiTheme="minorHAnsi" w:hAnsiTheme="minorHAnsi" w:cstheme="minorHAnsi"/>
          <w:sz w:val="22"/>
          <w:szCs w:val="18"/>
          <w:lang w:val="en"/>
        </w:rPr>
        <w:t xml:space="preserve"> </w:t>
      </w:r>
      <w:r w:rsidR="00C12656">
        <w:rPr>
          <w:rFonts w:asciiTheme="minorHAnsi" w:hAnsiTheme="minorHAnsi" w:cstheme="minorHAnsi"/>
          <w:sz w:val="22"/>
          <w:szCs w:val="18"/>
          <w:lang w:val="en"/>
        </w:rPr>
        <w:t>however the cricket ground had been unused for many years, was overgrown and ha</w:t>
      </w:r>
      <w:r w:rsidR="00046E41">
        <w:rPr>
          <w:rFonts w:asciiTheme="minorHAnsi" w:hAnsiTheme="minorHAnsi" w:cstheme="minorHAnsi"/>
          <w:sz w:val="22"/>
          <w:szCs w:val="18"/>
          <w:lang w:val="en"/>
        </w:rPr>
        <w:t>d no public access. The site had been</w:t>
      </w:r>
      <w:r w:rsidR="00C12656">
        <w:rPr>
          <w:rFonts w:asciiTheme="minorHAnsi" w:hAnsiTheme="minorHAnsi" w:cstheme="minorHAnsi"/>
          <w:sz w:val="22"/>
          <w:szCs w:val="18"/>
          <w:lang w:val="en"/>
        </w:rPr>
        <w:t xml:space="preserve"> allocated for residential development by Sites and Housing Plan Policy SP3</w:t>
      </w:r>
      <w:r w:rsidR="00C65306">
        <w:rPr>
          <w:rFonts w:asciiTheme="minorHAnsi" w:hAnsiTheme="minorHAnsi" w:cstheme="minorHAnsi"/>
          <w:sz w:val="22"/>
          <w:szCs w:val="18"/>
          <w:lang w:val="en"/>
        </w:rPr>
        <w:t xml:space="preserve"> and the development included the provision of new public</w:t>
      </w:r>
      <w:r w:rsidR="00F9619D">
        <w:rPr>
          <w:rFonts w:asciiTheme="minorHAnsi" w:hAnsiTheme="minorHAnsi" w:cstheme="minorHAnsi"/>
          <w:sz w:val="22"/>
          <w:szCs w:val="18"/>
          <w:lang w:val="en"/>
        </w:rPr>
        <w:t>al</w:t>
      </w:r>
      <w:r w:rsidR="00C65306">
        <w:rPr>
          <w:rFonts w:asciiTheme="minorHAnsi" w:hAnsiTheme="minorHAnsi" w:cstheme="minorHAnsi"/>
          <w:sz w:val="22"/>
          <w:szCs w:val="18"/>
          <w:lang w:val="en"/>
        </w:rPr>
        <w:t>ly accessible open space</w:t>
      </w:r>
      <w:r w:rsidR="00C12656">
        <w:rPr>
          <w:rFonts w:asciiTheme="minorHAnsi" w:hAnsiTheme="minorHAnsi" w:cstheme="minorHAnsi"/>
          <w:sz w:val="22"/>
          <w:szCs w:val="18"/>
          <w:lang w:val="en"/>
        </w:rPr>
        <w:t xml:space="preserve">. </w:t>
      </w:r>
    </w:p>
    <w:p w:rsidR="00564DFD" w:rsidRDefault="00564DFD" w:rsidP="00A31762">
      <w:pPr>
        <w:rPr>
          <w:color w:val="632423" w:themeColor="accent2" w:themeShade="80"/>
          <w:sz w:val="22"/>
          <w:szCs w:val="22"/>
        </w:rPr>
      </w:pPr>
    </w:p>
    <w:p w:rsidR="00CA63A4" w:rsidRDefault="00CA63A4" w:rsidP="00A31762">
      <w:pPr>
        <w:rPr>
          <w:color w:val="632423" w:themeColor="accent2" w:themeShade="80"/>
          <w:sz w:val="22"/>
          <w:szCs w:val="22"/>
        </w:rPr>
      </w:pPr>
    </w:p>
    <w:p w:rsidR="006E38B9" w:rsidRPr="000B530E" w:rsidRDefault="006E38B9" w:rsidP="006E38B9">
      <w:pPr>
        <w:autoSpaceDE w:val="0"/>
        <w:autoSpaceDN w:val="0"/>
        <w:adjustRightInd w:val="0"/>
        <w:jc w:val="both"/>
        <w:rPr>
          <w:rFonts w:ascii="Calibri" w:eastAsia="Calibri" w:hAnsi="Calibri" w:cs="Calibri"/>
          <w:color w:val="3F4F21"/>
        </w:rPr>
      </w:pPr>
      <w:r>
        <w:rPr>
          <w:rFonts w:ascii="Calibri" w:eastAsia="Calibri" w:hAnsi="Calibri" w:cs="Calibri"/>
          <w:b/>
          <w:noProof/>
          <w:color w:val="244061" w:themeColor="accent1" w:themeShade="80"/>
          <w:sz w:val="8"/>
          <w:szCs w:val="22"/>
          <w:lang w:eastAsia="en-GB"/>
        </w:rPr>
        <mc:AlternateContent>
          <mc:Choice Requires="wps">
            <w:drawing>
              <wp:anchor distT="0" distB="0" distL="114300" distR="114300" simplePos="0" relativeHeight="251726848" behindDoc="1" locked="0" layoutInCell="1" allowOverlap="1" wp14:anchorId="240A4008" wp14:editId="38473FDC">
                <wp:simplePos x="0" y="0"/>
                <wp:positionH relativeFrom="column">
                  <wp:posOffset>-57150</wp:posOffset>
                </wp:positionH>
                <wp:positionV relativeFrom="paragraph">
                  <wp:posOffset>0</wp:posOffset>
                </wp:positionV>
                <wp:extent cx="5904230" cy="1724025"/>
                <wp:effectExtent l="0" t="0" r="1270" b="9525"/>
                <wp:wrapNone/>
                <wp:docPr id="187" name="Rectangle 187"/>
                <wp:cNvGraphicFramePr/>
                <a:graphic xmlns:a="http://schemas.openxmlformats.org/drawingml/2006/main">
                  <a:graphicData uri="http://schemas.microsoft.com/office/word/2010/wordprocessingShape">
                    <wps:wsp>
                      <wps:cNvSpPr/>
                      <wps:spPr>
                        <a:xfrm>
                          <a:off x="0" y="0"/>
                          <a:ext cx="5904230" cy="172402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4.5pt;margin-top:0;width:464.9pt;height:13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" fillcolor="#c2d69b [1942]" stroked="f" strokeweight="2pt"/>
            </w:pict>
          </mc:Fallback>
        </mc:AlternateContent>
      </w:r>
      <w:r>
        <w:rPr>
          <w:rFonts w:ascii="Calibri" w:eastAsia="Calibri" w:hAnsi="Calibri" w:cs="Calibri"/>
          <w:b/>
          <w:color w:val="3F4F21"/>
        </w:rPr>
        <w:t>I</w:t>
      </w:r>
      <w:r w:rsidRPr="000B530E">
        <w:rPr>
          <w:rFonts w:ascii="Calibri" w:eastAsia="Calibri" w:hAnsi="Calibri" w:cs="Calibri"/>
          <w:b/>
          <w:color w:val="3F4F21"/>
        </w:rPr>
        <w:t xml:space="preserve">ndicator </w:t>
      </w:r>
      <w:r>
        <w:rPr>
          <w:rFonts w:ascii="Calibri" w:eastAsia="Calibri" w:hAnsi="Calibri" w:cs="Calibri"/>
          <w:b/>
          <w:color w:val="3F4F21"/>
        </w:rPr>
        <w:t>33</w:t>
      </w:r>
      <w:r w:rsidRPr="000B530E">
        <w:rPr>
          <w:rFonts w:ascii="Calibri" w:eastAsia="Calibri" w:hAnsi="Calibri" w:cs="Calibri"/>
          <w:b/>
          <w:color w:val="3F4F21"/>
        </w:rPr>
        <w:t xml:space="preserve">: </w:t>
      </w:r>
      <w:r>
        <w:rPr>
          <w:rFonts w:ascii="Calibri" w:eastAsia="Calibri" w:hAnsi="Calibri" w:cs="Calibri"/>
          <w:b/>
          <w:color w:val="3F4F21"/>
        </w:rPr>
        <w:t>NUMBER OF PARKS WITH GREEN FLAG STATUS</w:t>
      </w:r>
    </w:p>
    <w:p w:rsidR="006E38B9" w:rsidRPr="000B530E" w:rsidRDefault="006E38B9" w:rsidP="006E38B9">
      <w:pPr>
        <w:autoSpaceDE w:val="0"/>
        <w:autoSpaceDN w:val="0"/>
        <w:adjustRightInd w:val="0"/>
        <w:jc w:val="both"/>
        <w:rPr>
          <w:rFonts w:ascii="Calibri" w:eastAsia="Calibri" w:hAnsi="Calibri" w:cs="Calibri"/>
          <w:b/>
          <w:color w:val="3F4F21"/>
          <w:sz w:val="10"/>
          <w:szCs w:val="22"/>
        </w:rPr>
      </w:pPr>
    </w:p>
    <w:p w:rsidR="0089098C" w:rsidRDefault="006E38B9" w:rsidP="0089098C">
      <w:pPr>
        <w:autoSpaceDE w:val="0"/>
        <w:autoSpaceDN w:val="0"/>
        <w:adjustRightInd w:val="0"/>
        <w:jc w:val="both"/>
        <w:rPr>
          <w:rFonts w:ascii="Calibri" w:eastAsia="Calibri" w:hAnsi="Calibri" w:cs="Calibri"/>
          <w:color w:val="4F6228" w:themeColor="accent3" w:themeShade="80"/>
          <w:sz w:val="20"/>
          <w:szCs w:val="22"/>
        </w:rPr>
      </w:pPr>
      <w:r w:rsidRPr="000B530E">
        <w:rPr>
          <w:rFonts w:ascii="Calibri" w:eastAsia="Calibri" w:hAnsi="Calibri" w:cs="Calibri"/>
          <w:b/>
          <w:color w:val="3F4F21"/>
          <w:sz w:val="22"/>
          <w:szCs w:val="22"/>
        </w:rPr>
        <w:t xml:space="preserve">Target: </w:t>
      </w:r>
      <w:r w:rsidRPr="006E38B9">
        <w:rPr>
          <w:rFonts w:ascii="Calibri" w:eastAsia="Calibri" w:hAnsi="Calibri" w:cs="Calibri"/>
          <w:b/>
          <w:color w:val="3F4F21"/>
          <w:sz w:val="22"/>
          <w:szCs w:val="22"/>
        </w:rPr>
        <w:t>Renew the Green Flag status for parks that have already achieved this award.  Aim to produce more suc</w:t>
      </w:r>
      <w:r w:rsidR="0089098C">
        <w:rPr>
          <w:rFonts w:ascii="Calibri" w:eastAsia="Calibri" w:hAnsi="Calibri" w:cs="Calibri"/>
          <w:b/>
          <w:color w:val="3F4F21"/>
          <w:sz w:val="22"/>
          <w:szCs w:val="22"/>
        </w:rPr>
        <w:t xml:space="preserve">cessful winners of this award </w:t>
      </w:r>
      <w:r w:rsidR="00A234AB">
        <w:rPr>
          <w:rFonts w:ascii="Calibri" w:eastAsia="Calibri" w:hAnsi="Calibri" w:cs="Calibri"/>
          <w:color w:val="4F6228" w:themeColor="accent3" w:themeShade="80"/>
          <w:sz w:val="20"/>
          <w:szCs w:val="22"/>
        </w:rPr>
        <w:t>(Oxford Core Strategy</w:t>
      </w:r>
      <w:r w:rsidR="0089098C" w:rsidRPr="00EC00D8">
        <w:rPr>
          <w:rFonts w:ascii="Calibri" w:eastAsia="Calibri" w:hAnsi="Calibri" w:cs="Calibri"/>
          <w:color w:val="4F6228" w:themeColor="accent3" w:themeShade="80"/>
          <w:sz w:val="20"/>
          <w:szCs w:val="22"/>
        </w:rPr>
        <w:t xml:space="preserve"> Policy CS</w:t>
      </w:r>
      <w:r w:rsidR="0089098C">
        <w:rPr>
          <w:rFonts w:ascii="Calibri" w:eastAsia="Calibri" w:hAnsi="Calibri" w:cs="Calibri"/>
          <w:color w:val="4F6228" w:themeColor="accent3" w:themeShade="80"/>
          <w:sz w:val="20"/>
          <w:szCs w:val="22"/>
        </w:rPr>
        <w:t>21</w:t>
      </w:r>
      <w:r w:rsidR="0089098C" w:rsidRPr="00EC00D8">
        <w:rPr>
          <w:rFonts w:ascii="Calibri" w:eastAsia="Calibri" w:hAnsi="Calibri" w:cs="Calibri"/>
          <w:color w:val="4F6228" w:themeColor="accent3" w:themeShade="80"/>
          <w:sz w:val="20"/>
          <w:szCs w:val="22"/>
        </w:rPr>
        <w:t>)</w:t>
      </w:r>
    </w:p>
    <w:p w:rsidR="006E38B9" w:rsidRPr="000B530E" w:rsidRDefault="006E38B9" w:rsidP="006E38B9">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E38B9" w:rsidRPr="000B530E" w:rsidTr="00080674">
        <w:trPr>
          <w:trHeight w:val="218"/>
        </w:trPr>
        <w:tc>
          <w:tcPr>
            <w:tcW w:w="5420" w:type="dxa"/>
          </w:tcPr>
          <w:p w:rsidR="006E38B9" w:rsidRPr="000B530E" w:rsidRDefault="006E38B9"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6E38B9" w:rsidRPr="000B530E" w:rsidTr="00080674">
        <w:tc>
          <w:tcPr>
            <w:tcW w:w="5420" w:type="dxa"/>
            <w:vMerge w:val="restart"/>
          </w:tcPr>
          <w:p w:rsidR="006E38B9" w:rsidRPr="0031354A" w:rsidRDefault="006E38B9" w:rsidP="00080674">
            <w:pPr>
              <w:autoSpaceDE w:val="0"/>
              <w:autoSpaceDN w:val="0"/>
              <w:adjustRightInd w:val="0"/>
              <w:jc w:val="center"/>
              <w:rPr>
                <w:rFonts w:ascii="Calibri" w:eastAsia="Calibri" w:hAnsi="Calibri" w:cs="Calibri"/>
                <w:b/>
                <w:color w:val="3F4F21"/>
                <w:sz w:val="12"/>
                <w:szCs w:val="8"/>
              </w:rPr>
            </w:pPr>
          </w:p>
          <w:p w:rsidR="006E38B9" w:rsidRPr="0031354A" w:rsidRDefault="006E38B9" w:rsidP="00080674">
            <w:pPr>
              <w:autoSpaceDE w:val="0"/>
              <w:autoSpaceDN w:val="0"/>
              <w:adjustRightInd w:val="0"/>
              <w:jc w:val="center"/>
              <w:rPr>
                <w:b/>
                <w:noProof/>
                <w:color w:val="3F4F21"/>
                <w:sz w:val="2"/>
                <w:szCs w:val="32"/>
                <w:lang w:eastAsia="en-GB"/>
              </w:rPr>
            </w:pPr>
          </w:p>
          <w:p w:rsidR="0031354A" w:rsidRPr="000B530E" w:rsidRDefault="0031354A"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2069A34E" wp14:editId="0FAAACA6">
                  <wp:extent cx="1666875" cy="501917"/>
                  <wp:effectExtent l="0" t="0" r="0" b="0"/>
                  <wp:docPr id="58" name="Picture 58"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b/>
                <w:noProof/>
                <w:color w:val="3F4F21"/>
                <w:sz w:val="32"/>
                <w:szCs w:val="32"/>
                <w:lang w:eastAsia="en-GB"/>
              </w:rPr>
              <w:drawing>
                <wp:inline distT="0" distB="0" distL="0" distR="0" wp14:anchorId="21AE1075" wp14:editId="2DBA1C2A">
                  <wp:extent cx="1085850" cy="326964"/>
                  <wp:effectExtent l="0" t="0" r="0" b="0"/>
                  <wp:docPr id="185" name="Picture 185"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p w:rsidR="006E38B9" w:rsidRPr="000B530E" w:rsidRDefault="006E38B9" w:rsidP="00080674">
            <w:pPr>
              <w:autoSpaceDE w:val="0"/>
              <w:autoSpaceDN w:val="0"/>
              <w:adjustRightInd w:val="0"/>
              <w:jc w:val="center"/>
              <w:rPr>
                <w:rFonts w:ascii="Calibri" w:eastAsia="Calibri" w:hAnsi="Calibri" w:cs="Calibri"/>
                <w:b/>
                <w:color w:val="3F4F21"/>
                <w:sz w:val="8"/>
                <w:szCs w:val="8"/>
              </w:rPr>
            </w:pPr>
          </w:p>
        </w:tc>
      </w:tr>
      <w:tr w:rsidR="006E38B9" w:rsidRPr="000B530E" w:rsidTr="00080674">
        <w:tc>
          <w:tcPr>
            <w:tcW w:w="5420" w:type="dxa"/>
            <w:vMerge/>
          </w:tcPr>
          <w:p w:rsidR="006E38B9" w:rsidRPr="000B530E" w:rsidRDefault="006E38B9" w:rsidP="00080674">
            <w:pPr>
              <w:autoSpaceDE w:val="0"/>
              <w:autoSpaceDN w:val="0"/>
              <w:adjustRightInd w:val="0"/>
              <w:jc w:val="center"/>
              <w:rPr>
                <w:rFonts w:ascii="Calibri" w:eastAsia="Calibri" w:hAnsi="Calibri" w:cs="Calibri"/>
                <w:b/>
                <w:color w:val="3F4F21"/>
                <w:sz w:val="22"/>
                <w:szCs w:val="22"/>
              </w:rPr>
            </w:pP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6E38B9" w:rsidRPr="000B530E" w:rsidRDefault="006E38B9"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57D751EB" wp14:editId="7A6E9C54">
                  <wp:extent cx="1085850" cy="326964"/>
                  <wp:effectExtent l="0" t="0" r="0" b="0"/>
                  <wp:docPr id="186" name="Picture 186"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564DFD" w:rsidRDefault="00564DFD" w:rsidP="006E38B9">
      <w:pPr>
        <w:autoSpaceDE w:val="0"/>
        <w:autoSpaceDN w:val="0"/>
        <w:adjustRightInd w:val="0"/>
        <w:jc w:val="both"/>
        <w:rPr>
          <w:rFonts w:ascii="Calibri" w:eastAsia="Calibri" w:hAnsi="Calibri" w:cs="Calibri"/>
          <w:b/>
          <w:color w:val="3F4F21"/>
        </w:rPr>
      </w:pPr>
    </w:p>
    <w:p w:rsidR="00D16D78" w:rsidRPr="004471EF" w:rsidRDefault="00D16D78" w:rsidP="004335B5">
      <w:pPr>
        <w:numPr>
          <w:ilvl w:val="0"/>
          <w:numId w:val="7"/>
        </w:numPr>
        <w:spacing w:after="200" w:line="276" w:lineRule="auto"/>
        <w:jc w:val="both"/>
        <w:rPr>
          <w:rFonts w:ascii="Calibri" w:eastAsia="Calibri" w:hAnsi="Calibri" w:cs="Times New Roman"/>
          <w:sz w:val="22"/>
          <w:szCs w:val="22"/>
        </w:rPr>
      </w:pPr>
      <w:r w:rsidRPr="004471EF">
        <w:rPr>
          <w:rFonts w:ascii="Calibri" w:eastAsia="Calibri" w:hAnsi="Calibri" w:cs="Calibri"/>
          <w:sz w:val="22"/>
        </w:rPr>
        <w:t xml:space="preserve">The Green Flag Award was founded in 1996 as a way of recognising the best green spaces </w:t>
      </w:r>
      <w:r w:rsidR="0031354A" w:rsidRPr="004471EF">
        <w:rPr>
          <w:rFonts w:ascii="Calibri" w:eastAsia="Calibri" w:hAnsi="Calibri" w:cs="Calibri"/>
          <w:sz w:val="22"/>
        </w:rPr>
        <w:t>across</w:t>
      </w:r>
      <w:r w:rsidRPr="004471EF">
        <w:rPr>
          <w:rFonts w:ascii="Calibri" w:eastAsia="Calibri" w:hAnsi="Calibri" w:cs="Calibri"/>
          <w:sz w:val="22"/>
        </w:rPr>
        <w:t xml:space="preserve"> the country. It has now come to be the international standard for parks and green spaces in Europe. Four of Oxford’s</w:t>
      </w:r>
      <w:r w:rsidR="00DB39B6" w:rsidRPr="004471EF">
        <w:rPr>
          <w:rFonts w:ascii="Calibri" w:eastAsia="Calibri" w:hAnsi="Calibri" w:cs="Calibri"/>
          <w:sz w:val="22"/>
        </w:rPr>
        <w:t xml:space="preserve"> seven large</w:t>
      </w:r>
      <w:r w:rsidRPr="004471EF">
        <w:rPr>
          <w:rFonts w:ascii="Calibri" w:eastAsia="Calibri" w:hAnsi="Calibri" w:cs="Calibri"/>
          <w:sz w:val="22"/>
        </w:rPr>
        <w:t xml:space="preserve"> parks h</w:t>
      </w:r>
      <w:r w:rsidR="0031354A" w:rsidRPr="004471EF">
        <w:rPr>
          <w:rFonts w:ascii="Calibri" w:eastAsia="Calibri" w:hAnsi="Calibri" w:cs="Calibri"/>
          <w:sz w:val="22"/>
        </w:rPr>
        <w:t>ave</w:t>
      </w:r>
      <w:r w:rsidRPr="004471EF">
        <w:rPr>
          <w:rFonts w:ascii="Calibri" w:eastAsia="Calibri" w:hAnsi="Calibri" w:cs="Calibri"/>
          <w:sz w:val="22"/>
        </w:rPr>
        <w:t xml:space="preserve"> previously been awarded Green Flag status: </w:t>
      </w:r>
      <w:proofErr w:type="spellStart"/>
      <w:r w:rsidRPr="004471EF">
        <w:rPr>
          <w:rFonts w:ascii="Calibri" w:eastAsia="Calibri" w:hAnsi="Calibri" w:cs="Calibri"/>
          <w:sz w:val="22"/>
        </w:rPr>
        <w:t>Cutteslowe</w:t>
      </w:r>
      <w:proofErr w:type="spellEnd"/>
      <w:r w:rsidRPr="004471EF">
        <w:rPr>
          <w:rFonts w:ascii="Calibri" w:eastAsia="Calibri" w:hAnsi="Calibri" w:cs="Calibri"/>
          <w:sz w:val="22"/>
        </w:rPr>
        <w:t xml:space="preserve"> and </w:t>
      </w:r>
      <w:proofErr w:type="spellStart"/>
      <w:r w:rsidRPr="004471EF">
        <w:rPr>
          <w:rFonts w:ascii="Calibri" w:eastAsia="Calibri" w:hAnsi="Calibri" w:cs="Calibri"/>
          <w:sz w:val="22"/>
        </w:rPr>
        <w:t>Sunnymead</w:t>
      </w:r>
      <w:proofErr w:type="spellEnd"/>
      <w:r w:rsidRPr="004471EF">
        <w:rPr>
          <w:rFonts w:ascii="Calibri" w:eastAsia="Calibri" w:hAnsi="Calibri" w:cs="Calibri"/>
          <w:sz w:val="22"/>
        </w:rPr>
        <w:t xml:space="preserve">; </w:t>
      </w:r>
      <w:proofErr w:type="spellStart"/>
      <w:r w:rsidRPr="004471EF">
        <w:rPr>
          <w:rFonts w:ascii="Calibri" w:eastAsia="Calibri" w:hAnsi="Calibri" w:cs="Calibri"/>
          <w:sz w:val="22"/>
        </w:rPr>
        <w:t>Hinksey</w:t>
      </w:r>
      <w:proofErr w:type="spellEnd"/>
      <w:r w:rsidRPr="004471EF">
        <w:rPr>
          <w:rFonts w:ascii="Calibri" w:eastAsia="Calibri" w:hAnsi="Calibri" w:cs="Calibri"/>
          <w:sz w:val="22"/>
        </w:rPr>
        <w:t xml:space="preserve">; Florence; </w:t>
      </w:r>
      <w:r w:rsidR="0031354A" w:rsidRPr="004471EF">
        <w:rPr>
          <w:rFonts w:ascii="Calibri" w:eastAsia="Calibri" w:hAnsi="Calibri" w:cs="Calibri"/>
          <w:sz w:val="22"/>
        </w:rPr>
        <w:t xml:space="preserve">and Bury </w:t>
      </w:r>
      <w:proofErr w:type="spellStart"/>
      <w:r w:rsidR="0031354A" w:rsidRPr="004471EF">
        <w:rPr>
          <w:rFonts w:ascii="Calibri" w:eastAsia="Calibri" w:hAnsi="Calibri" w:cs="Calibri"/>
          <w:sz w:val="22"/>
        </w:rPr>
        <w:t>Knowle</w:t>
      </w:r>
      <w:proofErr w:type="spellEnd"/>
      <w:r w:rsidR="0031354A" w:rsidRPr="004471EF">
        <w:rPr>
          <w:rFonts w:ascii="Calibri" w:eastAsia="Calibri" w:hAnsi="Calibri" w:cs="Calibri"/>
          <w:sz w:val="22"/>
        </w:rPr>
        <w:t xml:space="preserve">. These awards were retained in the July 2013 re-assessments. In addition to this, </w:t>
      </w:r>
      <w:r w:rsidRPr="004471EF">
        <w:rPr>
          <w:rFonts w:ascii="Calibri" w:eastAsia="Calibri" w:hAnsi="Calibri" w:cs="Calibri"/>
          <w:sz w:val="22"/>
        </w:rPr>
        <w:t>Blackbird Leys</w:t>
      </w:r>
      <w:r w:rsidR="0031354A" w:rsidRPr="004471EF">
        <w:rPr>
          <w:rFonts w:ascii="Calibri" w:eastAsia="Calibri" w:hAnsi="Calibri" w:cs="Calibri"/>
          <w:sz w:val="22"/>
        </w:rPr>
        <w:t xml:space="preserve"> Park became the fifth Oxford </w:t>
      </w:r>
      <w:proofErr w:type="gramStart"/>
      <w:r w:rsidR="00DB39B6" w:rsidRPr="004471EF">
        <w:rPr>
          <w:rFonts w:ascii="Calibri" w:eastAsia="Calibri" w:hAnsi="Calibri" w:cs="Calibri"/>
          <w:sz w:val="22"/>
        </w:rPr>
        <w:t>park</w:t>
      </w:r>
      <w:proofErr w:type="gramEnd"/>
      <w:r w:rsidR="00564DFD">
        <w:rPr>
          <w:rFonts w:ascii="Calibri" w:eastAsia="Calibri" w:hAnsi="Calibri" w:cs="Calibri"/>
          <w:sz w:val="22"/>
        </w:rPr>
        <w:t xml:space="preserve"> to receive a Green Flag Award in summer 2013.</w:t>
      </w:r>
      <w:r w:rsidRPr="004471EF">
        <w:rPr>
          <w:rFonts w:ascii="Calibri" w:eastAsia="Calibri" w:hAnsi="Calibri" w:cs="Calibri"/>
          <w:sz w:val="22"/>
        </w:rPr>
        <w:t xml:space="preserve"> </w:t>
      </w:r>
    </w:p>
    <w:p w:rsidR="004471EF" w:rsidRDefault="004471EF" w:rsidP="006E38B9">
      <w:pPr>
        <w:autoSpaceDE w:val="0"/>
        <w:autoSpaceDN w:val="0"/>
        <w:adjustRightInd w:val="0"/>
        <w:jc w:val="both"/>
        <w:rPr>
          <w:rFonts w:ascii="Calibri" w:eastAsia="Calibri" w:hAnsi="Calibri" w:cs="Calibri"/>
          <w:sz w:val="22"/>
        </w:rPr>
      </w:pPr>
    </w:p>
    <w:p w:rsidR="004471EF" w:rsidRDefault="004471EF" w:rsidP="006E38B9">
      <w:pPr>
        <w:autoSpaceDE w:val="0"/>
        <w:autoSpaceDN w:val="0"/>
        <w:adjustRightInd w:val="0"/>
        <w:jc w:val="both"/>
        <w:rPr>
          <w:rFonts w:ascii="Calibri" w:eastAsia="Calibri" w:hAnsi="Calibri" w:cs="Calibri"/>
          <w:sz w:val="22"/>
        </w:rPr>
      </w:pPr>
    </w:p>
    <w:p w:rsidR="000366FD" w:rsidRDefault="000366FD" w:rsidP="006E38B9">
      <w:pPr>
        <w:autoSpaceDE w:val="0"/>
        <w:autoSpaceDN w:val="0"/>
        <w:adjustRightInd w:val="0"/>
        <w:jc w:val="both"/>
        <w:rPr>
          <w:rFonts w:ascii="Calibri" w:eastAsia="Calibri" w:hAnsi="Calibri" w:cs="Calibri"/>
          <w:sz w:val="22"/>
        </w:rPr>
      </w:pPr>
    </w:p>
    <w:p w:rsidR="000366FD" w:rsidRDefault="000366FD" w:rsidP="006E38B9">
      <w:pPr>
        <w:autoSpaceDE w:val="0"/>
        <w:autoSpaceDN w:val="0"/>
        <w:adjustRightInd w:val="0"/>
        <w:jc w:val="both"/>
        <w:rPr>
          <w:rFonts w:ascii="Calibri" w:eastAsia="Calibri" w:hAnsi="Calibri" w:cs="Calibri"/>
          <w:sz w:val="22"/>
        </w:rPr>
      </w:pPr>
    </w:p>
    <w:p w:rsidR="00564DFD" w:rsidRDefault="00564DFD" w:rsidP="006E38B9">
      <w:pPr>
        <w:autoSpaceDE w:val="0"/>
        <w:autoSpaceDN w:val="0"/>
        <w:adjustRightInd w:val="0"/>
        <w:jc w:val="both"/>
        <w:rPr>
          <w:rFonts w:ascii="Calibri" w:eastAsia="Calibri" w:hAnsi="Calibri" w:cs="Calibri"/>
          <w:sz w:val="22"/>
        </w:rPr>
      </w:pPr>
    </w:p>
    <w:p w:rsidR="00564DFD" w:rsidRDefault="00564DFD" w:rsidP="006E38B9">
      <w:pPr>
        <w:autoSpaceDE w:val="0"/>
        <w:autoSpaceDN w:val="0"/>
        <w:adjustRightInd w:val="0"/>
        <w:jc w:val="both"/>
        <w:rPr>
          <w:rFonts w:ascii="Calibri" w:eastAsia="Calibri" w:hAnsi="Calibri" w:cs="Calibri"/>
          <w:sz w:val="22"/>
        </w:rPr>
      </w:pPr>
    </w:p>
    <w:p w:rsidR="00BC3377" w:rsidRDefault="00BC3377" w:rsidP="006E38B9">
      <w:pPr>
        <w:autoSpaceDE w:val="0"/>
        <w:autoSpaceDN w:val="0"/>
        <w:adjustRightInd w:val="0"/>
        <w:jc w:val="both"/>
        <w:rPr>
          <w:rFonts w:ascii="Calibri" w:eastAsia="Calibri" w:hAnsi="Calibri" w:cs="Calibri"/>
          <w:sz w:val="22"/>
        </w:rPr>
      </w:pPr>
    </w:p>
    <w:p w:rsidR="00564DFD" w:rsidRDefault="00564DFD" w:rsidP="006E38B9">
      <w:pPr>
        <w:autoSpaceDE w:val="0"/>
        <w:autoSpaceDN w:val="0"/>
        <w:adjustRightInd w:val="0"/>
        <w:jc w:val="both"/>
        <w:rPr>
          <w:rFonts w:ascii="Calibri" w:eastAsia="Calibri" w:hAnsi="Calibri" w:cs="Calibri"/>
          <w:sz w:val="22"/>
        </w:rPr>
      </w:pPr>
    </w:p>
    <w:p w:rsidR="00E92A7D" w:rsidRDefault="00E92A7D" w:rsidP="006E38B9">
      <w:pPr>
        <w:autoSpaceDE w:val="0"/>
        <w:autoSpaceDN w:val="0"/>
        <w:adjustRightInd w:val="0"/>
        <w:jc w:val="both"/>
        <w:rPr>
          <w:rFonts w:ascii="Calibri" w:eastAsia="Calibri" w:hAnsi="Calibri" w:cs="Calibri"/>
          <w:sz w:val="22"/>
        </w:rPr>
      </w:pPr>
    </w:p>
    <w:p w:rsidR="00E92A7D" w:rsidRDefault="00E92A7D" w:rsidP="006E38B9">
      <w:pPr>
        <w:autoSpaceDE w:val="0"/>
        <w:autoSpaceDN w:val="0"/>
        <w:adjustRightInd w:val="0"/>
        <w:jc w:val="both"/>
        <w:rPr>
          <w:rFonts w:ascii="Calibri" w:eastAsia="Calibri" w:hAnsi="Calibri" w:cs="Calibri"/>
          <w:b/>
          <w:color w:val="3F4F21"/>
        </w:rPr>
      </w:pPr>
    </w:p>
    <w:p w:rsidR="006E38B9" w:rsidRPr="000B530E" w:rsidRDefault="00221410" w:rsidP="006E38B9">
      <w:pPr>
        <w:autoSpaceDE w:val="0"/>
        <w:autoSpaceDN w:val="0"/>
        <w:adjustRightInd w:val="0"/>
        <w:jc w:val="both"/>
        <w:rPr>
          <w:rFonts w:ascii="Calibri" w:eastAsia="Calibri" w:hAnsi="Calibri" w:cs="Calibri"/>
          <w:color w:val="3F4F21"/>
        </w:rPr>
      </w:pPr>
      <w:r>
        <w:rPr>
          <w:rFonts w:ascii="Calibri" w:eastAsia="Calibri" w:hAnsi="Calibri" w:cs="Calibri"/>
          <w:b/>
          <w:noProof/>
          <w:color w:val="244061" w:themeColor="accent1" w:themeShade="80"/>
          <w:sz w:val="8"/>
          <w:szCs w:val="22"/>
          <w:lang w:eastAsia="en-GB"/>
        </w:rPr>
        <w:lastRenderedPageBreak/>
        <mc:AlternateContent>
          <mc:Choice Requires="wps">
            <w:drawing>
              <wp:anchor distT="0" distB="0" distL="114300" distR="114300" simplePos="0" relativeHeight="251728896" behindDoc="1" locked="0" layoutInCell="1" allowOverlap="1" wp14:anchorId="00703B4E" wp14:editId="6C9FCB51">
                <wp:simplePos x="0" y="0"/>
                <wp:positionH relativeFrom="column">
                  <wp:posOffset>-57150</wp:posOffset>
                </wp:positionH>
                <wp:positionV relativeFrom="paragraph">
                  <wp:posOffset>-38735</wp:posOffset>
                </wp:positionV>
                <wp:extent cx="5904230" cy="1952625"/>
                <wp:effectExtent l="0" t="0" r="1270" b="9525"/>
                <wp:wrapNone/>
                <wp:docPr id="191" name="Rectangle 191"/>
                <wp:cNvGraphicFramePr/>
                <a:graphic xmlns:a="http://schemas.openxmlformats.org/drawingml/2006/main">
                  <a:graphicData uri="http://schemas.microsoft.com/office/word/2010/wordprocessingShape">
                    <wps:wsp>
                      <wps:cNvSpPr/>
                      <wps:spPr>
                        <a:xfrm>
                          <a:off x="0" y="0"/>
                          <a:ext cx="5904230" cy="1952625"/>
                        </a:xfrm>
                        <a:prstGeom prst="rect">
                          <a:avLst/>
                        </a:prstGeom>
                        <a:solidFill>
                          <a:schemeClr val="accent3">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4.5pt;margin-top:-3.05pt;width:464.9pt;height:15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" fillcolor="#c2d69b [1942]" stroked="f" strokeweight="2pt"/>
            </w:pict>
          </mc:Fallback>
        </mc:AlternateContent>
      </w:r>
      <w:r w:rsidR="005F586C" w:rsidRPr="005F586C">
        <w:rPr>
          <w:rFonts w:ascii="Calibri" w:eastAsia="Calibri" w:hAnsi="Calibri" w:cs="Calibri"/>
          <w:b/>
          <w:noProof/>
          <w:color w:val="000000"/>
          <w:sz w:val="32"/>
          <w:szCs w:val="32"/>
          <w:lang w:eastAsia="en-GB"/>
        </w:rPr>
        <mc:AlternateContent>
          <mc:Choice Requires="wps">
            <w:drawing>
              <wp:anchor distT="0" distB="0" distL="114300" distR="114300" simplePos="0" relativeHeight="251836416" behindDoc="0" locked="0" layoutInCell="1" allowOverlap="1" wp14:anchorId="4947D42B" wp14:editId="63A350A8">
                <wp:simplePos x="0" y="0"/>
                <wp:positionH relativeFrom="column">
                  <wp:posOffset>3486150</wp:posOffset>
                </wp:positionH>
                <wp:positionV relativeFrom="paragraph">
                  <wp:posOffset>-603885</wp:posOffset>
                </wp:positionV>
                <wp:extent cx="2427605"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5F586C">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80" type="#_x0000_t202" style="position:absolute;left:0;text-align:left;margin-left:274.5pt;margin-top:-47.55pt;width:191.15pt;height:27.7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" fillcolor="window" stroked="f" strokeweight=".5pt">
                <v:textbox>
                  <w:txbxContent>
                    <w:p w:rsidR="000D3CFF" w:rsidRPr="00483A60" w:rsidRDefault="000D3CFF" w:rsidP="005F586C">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6E38B9">
        <w:rPr>
          <w:rFonts w:ascii="Calibri" w:eastAsia="Calibri" w:hAnsi="Calibri" w:cs="Calibri"/>
          <w:b/>
          <w:color w:val="3F4F21"/>
        </w:rPr>
        <w:t>I</w:t>
      </w:r>
      <w:r w:rsidR="006E38B9" w:rsidRPr="000B530E">
        <w:rPr>
          <w:rFonts w:ascii="Calibri" w:eastAsia="Calibri" w:hAnsi="Calibri" w:cs="Calibri"/>
          <w:b/>
          <w:color w:val="3F4F21"/>
        </w:rPr>
        <w:t xml:space="preserve">ndicator </w:t>
      </w:r>
      <w:r w:rsidR="006E38B9">
        <w:rPr>
          <w:rFonts w:ascii="Calibri" w:eastAsia="Calibri" w:hAnsi="Calibri" w:cs="Calibri"/>
          <w:b/>
          <w:color w:val="3F4F21"/>
        </w:rPr>
        <w:t>3</w:t>
      </w:r>
      <w:r w:rsidR="00D97772">
        <w:rPr>
          <w:rFonts w:ascii="Calibri" w:eastAsia="Calibri" w:hAnsi="Calibri" w:cs="Calibri"/>
          <w:b/>
          <w:color w:val="3F4F21"/>
        </w:rPr>
        <w:t>4</w:t>
      </w:r>
      <w:r w:rsidR="006E38B9" w:rsidRPr="000B530E">
        <w:rPr>
          <w:rFonts w:ascii="Calibri" w:eastAsia="Calibri" w:hAnsi="Calibri" w:cs="Calibri"/>
          <w:b/>
          <w:color w:val="3F4F21"/>
        </w:rPr>
        <w:t xml:space="preserve">: </w:t>
      </w:r>
      <w:r w:rsidR="00EE1F4F" w:rsidRPr="00EE1F4F">
        <w:rPr>
          <w:rFonts w:ascii="Calibri" w:eastAsia="Calibri" w:hAnsi="Calibri" w:cs="Calibri"/>
          <w:b/>
          <w:color w:val="3F4F21"/>
        </w:rPr>
        <w:t>TRAFFIC GROWTH AT INNER AND OUTER CORDONS</w:t>
      </w:r>
    </w:p>
    <w:p w:rsidR="006E38B9" w:rsidRPr="000B530E" w:rsidRDefault="006E38B9" w:rsidP="006E38B9">
      <w:pPr>
        <w:autoSpaceDE w:val="0"/>
        <w:autoSpaceDN w:val="0"/>
        <w:adjustRightInd w:val="0"/>
        <w:jc w:val="both"/>
        <w:rPr>
          <w:rFonts w:ascii="Calibri" w:eastAsia="Calibri" w:hAnsi="Calibri" w:cs="Calibri"/>
          <w:b/>
          <w:color w:val="3F4F21"/>
          <w:sz w:val="10"/>
          <w:szCs w:val="22"/>
        </w:rPr>
      </w:pPr>
    </w:p>
    <w:p w:rsidR="00D97772" w:rsidRPr="00D97772" w:rsidRDefault="006E38B9" w:rsidP="00D97772">
      <w:pPr>
        <w:ind w:left="85"/>
        <w:rPr>
          <w:rFonts w:ascii="Calibri" w:eastAsia="Calibri" w:hAnsi="Calibri" w:cs="Times New Roman"/>
          <w:b/>
          <w:bCs/>
          <w:color w:val="3F4F21"/>
          <w:sz w:val="22"/>
          <w:szCs w:val="22"/>
        </w:rPr>
      </w:pPr>
      <w:r w:rsidRPr="000B530E">
        <w:rPr>
          <w:rFonts w:ascii="Calibri" w:eastAsia="Calibri" w:hAnsi="Calibri" w:cs="Calibri"/>
          <w:b/>
          <w:color w:val="3F4F21"/>
          <w:sz w:val="22"/>
          <w:szCs w:val="22"/>
        </w:rPr>
        <w:t xml:space="preserve">Target: </w:t>
      </w:r>
      <w:r w:rsidR="00D97772">
        <w:rPr>
          <w:rFonts w:ascii="Calibri" w:eastAsia="Calibri" w:hAnsi="Calibri" w:cs="Times New Roman"/>
          <w:b/>
          <w:bCs/>
          <w:color w:val="3F4F21"/>
          <w:sz w:val="22"/>
          <w:szCs w:val="22"/>
        </w:rPr>
        <w:t>Inner Cordon -</w:t>
      </w:r>
      <w:r w:rsidR="00D97772" w:rsidRPr="00D97772">
        <w:rPr>
          <w:rFonts w:ascii="Calibri" w:eastAsia="Calibri" w:hAnsi="Calibri" w:cs="Times New Roman"/>
          <w:b/>
          <w:bCs/>
          <w:color w:val="3F4F21"/>
          <w:sz w:val="22"/>
          <w:szCs w:val="22"/>
        </w:rPr>
        <w:t xml:space="preserve"> no more than 0% growth</w:t>
      </w:r>
    </w:p>
    <w:p w:rsidR="006E38B9" w:rsidRDefault="00D97772" w:rsidP="00D97772">
      <w:pPr>
        <w:spacing w:line="276" w:lineRule="auto"/>
        <w:rPr>
          <w:rFonts w:ascii="Calibri" w:eastAsia="Calibri" w:hAnsi="Calibri" w:cs="Times New Roman"/>
          <w:b/>
          <w:color w:val="3F4F21"/>
          <w:sz w:val="22"/>
          <w:szCs w:val="22"/>
        </w:rPr>
      </w:pPr>
      <w:r w:rsidRPr="00D97772">
        <w:rPr>
          <w:rFonts w:ascii="Calibri" w:eastAsia="Calibri" w:hAnsi="Calibri" w:cs="Times New Roman"/>
          <w:b/>
          <w:color w:val="3F4F21"/>
          <w:sz w:val="22"/>
          <w:szCs w:val="22"/>
        </w:rPr>
        <w:t xml:space="preserve">        </w:t>
      </w:r>
      <w:r>
        <w:rPr>
          <w:rFonts w:ascii="Calibri" w:eastAsia="Calibri" w:hAnsi="Calibri" w:cs="Times New Roman"/>
          <w:b/>
          <w:color w:val="3F4F21"/>
          <w:sz w:val="22"/>
          <w:szCs w:val="22"/>
        </w:rPr>
        <w:t xml:space="preserve">        Outer Cordon -</w:t>
      </w:r>
      <w:r w:rsidRPr="00D97772">
        <w:rPr>
          <w:rFonts w:ascii="Calibri" w:eastAsia="Calibri" w:hAnsi="Calibri" w:cs="Times New Roman"/>
          <w:b/>
          <w:color w:val="3F4F21"/>
          <w:sz w:val="22"/>
          <w:szCs w:val="22"/>
        </w:rPr>
        <w:t xml:space="preserve"> no more than 0.2% average annual growt</w:t>
      </w:r>
      <w:r w:rsidR="0089098C">
        <w:rPr>
          <w:rFonts w:ascii="Calibri" w:eastAsia="Calibri" w:hAnsi="Calibri" w:cs="Times New Roman"/>
          <w:b/>
          <w:color w:val="3F4F21"/>
          <w:sz w:val="22"/>
          <w:szCs w:val="22"/>
        </w:rPr>
        <w:t>h</w:t>
      </w:r>
    </w:p>
    <w:p w:rsidR="0089098C" w:rsidRPr="0089098C" w:rsidRDefault="0089098C" w:rsidP="0089098C">
      <w:pPr>
        <w:autoSpaceDE w:val="0"/>
        <w:autoSpaceDN w:val="0"/>
        <w:adjustRightInd w:val="0"/>
        <w:jc w:val="both"/>
        <w:rPr>
          <w:rFonts w:ascii="Calibri" w:eastAsia="Calibri" w:hAnsi="Calibri" w:cs="Calibri"/>
          <w:color w:val="4F6228" w:themeColor="accent3" w:themeShade="80"/>
          <w:sz w:val="20"/>
          <w:szCs w:val="22"/>
        </w:rPr>
      </w:pPr>
      <w:r>
        <w:rPr>
          <w:rFonts w:ascii="Calibri" w:eastAsia="Calibri" w:hAnsi="Calibri" w:cs="Times New Roman"/>
          <w:b/>
          <w:color w:val="3F4F21"/>
          <w:sz w:val="22"/>
          <w:szCs w:val="22"/>
        </w:rPr>
        <w:t xml:space="preserve">               </w:t>
      </w:r>
      <w:r w:rsidR="00A234AB">
        <w:rPr>
          <w:rFonts w:ascii="Calibri" w:eastAsia="Calibri" w:hAnsi="Calibri" w:cs="Calibri"/>
          <w:color w:val="4F6228" w:themeColor="accent3" w:themeShade="80"/>
          <w:sz w:val="20"/>
          <w:szCs w:val="22"/>
        </w:rPr>
        <w:t>(Oxford Core Strategy</w:t>
      </w:r>
      <w:r w:rsidRPr="00EC00D8">
        <w:rPr>
          <w:rFonts w:ascii="Calibri" w:eastAsia="Calibri" w:hAnsi="Calibri" w:cs="Calibri"/>
          <w:color w:val="4F6228" w:themeColor="accent3" w:themeShade="80"/>
          <w:sz w:val="20"/>
          <w:szCs w:val="22"/>
        </w:rPr>
        <w:t xml:space="preserve"> Policy CS</w:t>
      </w:r>
      <w:r>
        <w:rPr>
          <w:rFonts w:ascii="Calibri" w:eastAsia="Calibri" w:hAnsi="Calibri" w:cs="Calibri"/>
          <w:color w:val="4F6228" w:themeColor="accent3" w:themeShade="80"/>
          <w:sz w:val="20"/>
          <w:szCs w:val="22"/>
        </w:rPr>
        <w:t>14</w:t>
      </w:r>
      <w:r w:rsidRPr="00EC00D8">
        <w:rPr>
          <w:rFonts w:ascii="Calibri" w:eastAsia="Calibri" w:hAnsi="Calibri" w:cs="Calibri"/>
          <w:color w:val="4F6228" w:themeColor="accent3" w:themeShade="80"/>
          <w:sz w:val="20"/>
          <w:szCs w:val="22"/>
        </w:rPr>
        <w:t>)</w:t>
      </w:r>
    </w:p>
    <w:p w:rsidR="006E38B9" w:rsidRPr="000B530E" w:rsidRDefault="006E38B9" w:rsidP="006E38B9">
      <w:pPr>
        <w:autoSpaceDE w:val="0"/>
        <w:autoSpaceDN w:val="0"/>
        <w:adjustRightInd w:val="0"/>
        <w:jc w:val="both"/>
        <w:rPr>
          <w:rFonts w:ascii="Calibri" w:eastAsia="Calibri" w:hAnsi="Calibri" w:cs="Calibri"/>
          <w:b/>
          <w:color w:val="3F4F21"/>
          <w:sz w:val="22"/>
          <w:szCs w:val="22"/>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1101"/>
        <w:gridCol w:w="2613"/>
      </w:tblGrid>
      <w:tr w:rsidR="006E38B9" w:rsidRPr="000B530E" w:rsidTr="00080674">
        <w:trPr>
          <w:trHeight w:val="218"/>
        </w:trPr>
        <w:tc>
          <w:tcPr>
            <w:tcW w:w="5420" w:type="dxa"/>
          </w:tcPr>
          <w:p w:rsidR="006E38B9" w:rsidRPr="000B530E" w:rsidRDefault="006E38B9" w:rsidP="00080674">
            <w:pPr>
              <w:autoSpaceDE w:val="0"/>
              <w:autoSpaceDN w:val="0"/>
              <w:adjustRightInd w:val="0"/>
              <w:rPr>
                <w:b/>
                <w:noProof/>
                <w:color w:val="3F4F21"/>
                <w:sz w:val="16"/>
                <w:szCs w:val="16"/>
                <w:lang w:eastAsia="en-GB"/>
              </w:rPr>
            </w:pPr>
            <w:r w:rsidRPr="000B530E">
              <w:rPr>
                <w:rFonts w:ascii="Calibri" w:eastAsia="Calibri" w:hAnsi="Calibri" w:cs="Calibri"/>
                <w:b/>
                <w:color w:val="3F4F21"/>
                <w:sz w:val="22"/>
                <w:szCs w:val="22"/>
              </w:rPr>
              <w:t>Performance against target 2013/14:</w:t>
            </w:r>
          </w:p>
        </w:tc>
        <w:tc>
          <w:tcPr>
            <w:tcW w:w="3714" w:type="dxa"/>
            <w:gridSpan w:val="2"/>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Performance in previous two years:</w:t>
            </w:r>
          </w:p>
        </w:tc>
      </w:tr>
      <w:tr w:rsidR="006E38B9" w:rsidRPr="000B530E" w:rsidTr="00080674">
        <w:tc>
          <w:tcPr>
            <w:tcW w:w="5420" w:type="dxa"/>
            <w:vMerge w:val="restart"/>
          </w:tcPr>
          <w:p w:rsidR="006E38B9" w:rsidRPr="000B530E" w:rsidRDefault="006E38B9" w:rsidP="00080674">
            <w:pPr>
              <w:autoSpaceDE w:val="0"/>
              <w:autoSpaceDN w:val="0"/>
              <w:adjustRightInd w:val="0"/>
              <w:jc w:val="center"/>
              <w:rPr>
                <w:rFonts w:ascii="Calibri" w:eastAsia="Calibri" w:hAnsi="Calibri" w:cs="Calibri"/>
                <w:b/>
                <w:color w:val="3F4F21"/>
                <w:sz w:val="8"/>
                <w:szCs w:val="8"/>
              </w:rPr>
            </w:pPr>
          </w:p>
          <w:p w:rsidR="006E38B9" w:rsidRPr="000B530E" w:rsidRDefault="00CE6773" w:rsidP="00080674">
            <w:pPr>
              <w:autoSpaceDE w:val="0"/>
              <w:autoSpaceDN w:val="0"/>
              <w:adjustRightInd w:val="0"/>
              <w:jc w:val="center"/>
              <w:rPr>
                <w:rFonts w:ascii="Calibri" w:eastAsia="Calibri" w:hAnsi="Calibri" w:cs="Calibri"/>
                <w:b/>
                <w:color w:val="3F4F21"/>
                <w:sz w:val="12"/>
                <w:szCs w:val="12"/>
              </w:rPr>
            </w:pPr>
            <w:r w:rsidRPr="000B530E">
              <w:rPr>
                <w:b/>
                <w:noProof/>
                <w:color w:val="3F4F21"/>
                <w:sz w:val="32"/>
                <w:szCs w:val="32"/>
                <w:lang w:eastAsia="en-GB"/>
              </w:rPr>
              <w:drawing>
                <wp:inline distT="0" distB="0" distL="0" distR="0" wp14:anchorId="0B5A3179" wp14:editId="1E28ACC6">
                  <wp:extent cx="1666875" cy="501917"/>
                  <wp:effectExtent l="0" t="0" r="0" b="0"/>
                  <wp:docPr id="222" name="Picture 222"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830" cy="505517"/>
                          </a:xfrm>
                          <a:prstGeom prst="rect">
                            <a:avLst/>
                          </a:prstGeom>
                          <a:noFill/>
                          <a:ln>
                            <a:noFill/>
                          </a:ln>
                        </pic:spPr>
                      </pic:pic>
                    </a:graphicData>
                  </a:graphic>
                </wp:inline>
              </w:drawing>
            </w: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2012/13:</w:t>
            </w:r>
          </w:p>
        </w:tc>
        <w:tc>
          <w:tcPr>
            <w:tcW w:w="2613" w:type="dxa"/>
          </w:tcPr>
          <w:p w:rsidR="006E38B9" w:rsidRPr="000B530E" w:rsidRDefault="00D97772" w:rsidP="00080674">
            <w:pPr>
              <w:autoSpaceDE w:val="0"/>
              <w:autoSpaceDN w:val="0"/>
              <w:adjustRightInd w:val="0"/>
              <w:rPr>
                <w:rFonts w:ascii="Calibri" w:eastAsia="Calibri" w:hAnsi="Calibri" w:cs="Calibri"/>
                <w:b/>
                <w:color w:val="3F4F21"/>
                <w:sz w:val="22"/>
                <w:szCs w:val="22"/>
              </w:rPr>
            </w:pPr>
            <w:r>
              <w:rPr>
                <w:b/>
                <w:noProof/>
                <w:sz w:val="32"/>
                <w:szCs w:val="32"/>
                <w:lang w:eastAsia="en-GB"/>
              </w:rPr>
              <w:drawing>
                <wp:inline distT="0" distB="0" distL="0" distR="0" wp14:anchorId="1978FC27" wp14:editId="516E1DF0">
                  <wp:extent cx="1085850" cy="338644"/>
                  <wp:effectExtent l="0" t="0" r="0" b="4445"/>
                  <wp:docPr id="190" name="Picture 190"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37" cy="339232"/>
                          </a:xfrm>
                          <a:prstGeom prst="rect">
                            <a:avLst/>
                          </a:prstGeom>
                          <a:noFill/>
                          <a:ln>
                            <a:noFill/>
                          </a:ln>
                        </pic:spPr>
                      </pic:pic>
                    </a:graphicData>
                  </a:graphic>
                </wp:inline>
              </w:drawing>
            </w:r>
          </w:p>
          <w:p w:rsidR="006E38B9" w:rsidRPr="000B530E" w:rsidRDefault="006E38B9" w:rsidP="00080674">
            <w:pPr>
              <w:autoSpaceDE w:val="0"/>
              <w:autoSpaceDN w:val="0"/>
              <w:adjustRightInd w:val="0"/>
              <w:jc w:val="center"/>
              <w:rPr>
                <w:rFonts w:ascii="Calibri" w:eastAsia="Calibri" w:hAnsi="Calibri" w:cs="Calibri"/>
                <w:b/>
                <w:color w:val="3F4F21"/>
                <w:sz w:val="8"/>
                <w:szCs w:val="8"/>
              </w:rPr>
            </w:pPr>
          </w:p>
        </w:tc>
      </w:tr>
      <w:tr w:rsidR="006E38B9" w:rsidRPr="000B530E" w:rsidTr="00080674">
        <w:tc>
          <w:tcPr>
            <w:tcW w:w="5420" w:type="dxa"/>
            <w:vMerge/>
          </w:tcPr>
          <w:p w:rsidR="006E38B9" w:rsidRPr="000B530E" w:rsidRDefault="006E38B9" w:rsidP="00080674">
            <w:pPr>
              <w:autoSpaceDE w:val="0"/>
              <w:autoSpaceDN w:val="0"/>
              <w:adjustRightInd w:val="0"/>
              <w:jc w:val="center"/>
              <w:rPr>
                <w:rFonts w:ascii="Calibri" w:eastAsia="Calibri" w:hAnsi="Calibri" w:cs="Calibri"/>
                <w:b/>
                <w:color w:val="3F4F21"/>
                <w:sz w:val="22"/>
                <w:szCs w:val="22"/>
              </w:rPr>
            </w:pPr>
          </w:p>
        </w:tc>
        <w:tc>
          <w:tcPr>
            <w:tcW w:w="1101" w:type="dxa"/>
          </w:tcPr>
          <w:p w:rsidR="006E38B9" w:rsidRPr="000B530E" w:rsidRDefault="006E38B9" w:rsidP="00080674">
            <w:pPr>
              <w:autoSpaceDE w:val="0"/>
              <w:autoSpaceDN w:val="0"/>
              <w:adjustRightInd w:val="0"/>
              <w:rPr>
                <w:rFonts w:ascii="Calibri" w:eastAsia="Calibri" w:hAnsi="Calibri" w:cs="Calibri"/>
                <w:b/>
                <w:color w:val="3F4F21"/>
                <w:sz w:val="22"/>
                <w:szCs w:val="22"/>
              </w:rPr>
            </w:pPr>
            <w:r w:rsidRPr="000B530E">
              <w:rPr>
                <w:rFonts w:ascii="Calibri" w:eastAsia="Calibri" w:hAnsi="Calibri" w:cs="Calibri"/>
                <w:b/>
                <w:color w:val="3F4F21"/>
                <w:sz w:val="22"/>
                <w:szCs w:val="22"/>
              </w:rPr>
              <w:t>2011/12:</w:t>
            </w:r>
          </w:p>
        </w:tc>
        <w:tc>
          <w:tcPr>
            <w:tcW w:w="2613" w:type="dxa"/>
          </w:tcPr>
          <w:p w:rsidR="006E38B9" w:rsidRPr="000B530E" w:rsidRDefault="006E38B9" w:rsidP="00080674">
            <w:pPr>
              <w:autoSpaceDE w:val="0"/>
              <w:autoSpaceDN w:val="0"/>
              <w:adjustRightInd w:val="0"/>
              <w:rPr>
                <w:rFonts w:ascii="Calibri" w:eastAsia="Calibri" w:hAnsi="Calibri" w:cs="Calibri"/>
                <w:b/>
                <w:color w:val="3F4F21"/>
                <w:sz w:val="20"/>
                <w:szCs w:val="20"/>
              </w:rPr>
            </w:pPr>
            <w:r w:rsidRPr="000B530E">
              <w:rPr>
                <w:b/>
                <w:noProof/>
                <w:color w:val="3F4F21"/>
                <w:sz w:val="32"/>
                <w:szCs w:val="32"/>
                <w:lang w:eastAsia="en-GB"/>
              </w:rPr>
              <w:drawing>
                <wp:inline distT="0" distB="0" distL="0" distR="0" wp14:anchorId="087F5BC1" wp14:editId="18EFAD3E">
                  <wp:extent cx="1085850" cy="326964"/>
                  <wp:effectExtent l="0" t="0" r="0" b="0"/>
                  <wp:docPr id="189" name="Picture 189"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326390"/>
                          </a:xfrm>
                          <a:prstGeom prst="rect">
                            <a:avLst/>
                          </a:prstGeom>
                          <a:noFill/>
                          <a:ln>
                            <a:noFill/>
                          </a:ln>
                        </pic:spPr>
                      </pic:pic>
                    </a:graphicData>
                  </a:graphic>
                </wp:inline>
              </w:drawing>
            </w:r>
          </w:p>
        </w:tc>
      </w:tr>
    </w:tbl>
    <w:p w:rsidR="006E38B9" w:rsidRDefault="006E38B9" w:rsidP="00A31762">
      <w:pPr>
        <w:rPr>
          <w:color w:val="632423" w:themeColor="accent2" w:themeShade="80"/>
          <w:sz w:val="22"/>
          <w:szCs w:val="22"/>
        </w:rPr>
      </w:pPr>
    </w:p>
    <w:p w:rsidR="005F586C" w:rsidRPr="00BC3377" w:rsidRDefault="005542F7" w:rsidP="004335B5">
      <w:pPr>
        <w:numPr>
          <w:ilvl w:val="0"/>
          <w:numId w:val="7"/>
        </w:numPr>
        <w:spacing w:after="200" w:line="276" w:lineRule="auto"/>
        <w:jc w:val="both"/>
        <w:rPr>
          <w:rFonts w:ascii="Calibri" w:eastAsia="Calibri" w:hAnsi="Calibri" w:cs="Calibri"/>
          <w:sz w:val="22"/>
        </w:rPr>
      </w:pPr>
      <w:r>
        <w:rPr>
          <w:rFonts w:ascii="Calibri" w:eastAsia="Calibri" w:hAnsi="Calibri" w:cs="Calibri"/>
          <w:sz w:val="22"/>
        </w:rPr>
        <w:t>Oxf</w:t>
      </w:r>
      <w:r w:rsidR="007A24B3">
        <w:rPr>
          <w:rFonts w:ascii="Calibri" w:eastAsia="Calibri" w:hAnsi="Calibri" w:cs="Calibri"/>
          <w:sz w:val="22"/>
        </w:rPr>
        <w:t>ordshire County Council monitor</w:t>
      </w:r>
      <w:r w:rsidR="007A4045">
        <w:rPr>
          <w:rFonts w:ascii="Calibri" w:eastAsia="Calibri" w:hAnsi="Calibri" w:cs="Calibri"/>
          <w:sz w:val="22"/>
        </w:rPr>
        <w:t>s</w:t>
      </w:r>
      <w:r>
        <w:rPr>
          <w:rFonts w:ascii="Calibri" w:eastAsia="Calibri" w:hAnsi="Calibri" w:cs="Calibri"/>
          <w:sz w:val="22"/>
        </w:rPr>
        <w:t xml:space="preserve"> traffic flows a</w:t>
      </w:r>
      <w:r w:rsidR="007A24B3">
        <w:rPr>
          <w:rFonts w:ascii="Calibri" w:eastAsia="Calibri" w:hAnsi="Calibri" w:cs="Calibri"/>
          <w:sz w:val="22"/>
        </w:rPr>
        <w:t>t</w:t>
      </w:r>
      <w:r>
        <w:rPr>
          <w:rFonts w:ascii="Calibri" w:eastAsia="Calibri" w:hAnsi="Calibri" w:cs="Calibri"/>
          <w:sz w:val="22"/>
        </w:rPr>
        <w:t xml:space="preserve"> two ‘cordons’ in Oxford</w:t>
      </w:r>
      <w:r w:rsidR="007A4045">
        <w:rPr>
          <w:rFonts w:ascii="Calibri" w:eastAsia="Calibri" w:hAnsi="Calibri" w:cs="Calibri"/>
          <w:sz w:val="22"/>
        </w:rPr>
        <w:t>; the inner and outer c</w:t>
      </w:r>
      <w:r w:rsidR="007A24B3">
        <w:rPr>
          <w:rFonts w:ascii="Calibri" w:eastAsia="Calibri" w:hAnsi="Calibri" w:cs="Calibri"/>
          <w:sz w:val="22"/>
        </w:rPr>
        <w:t>ordons. Each of these is made up of a</w:t>
      </w:r>
      <w:r w:rsidR="00BC3377">
        <w:rPr>
          <w:rFonts w:ascii="Calibri" w:eastAsia="Calibri" w:hAnsi="Calibri" w:cs="Calibri"/>
          <w:sz w:val="22"/>
        </w:rPr>
        <w:t xml:space="preserve"> number of monitoring locations. </w:t>
      </w:r>
      <w:r w:rsidR="007A24B3" w:rsidRPr="00BC3377">
        <w:rPr>
          <w:rFonts w:ascii="Calibri" w:eastAsia="Calibri" w:hAnsi="Calibri" w:cs="Calibri"/>
          <w:sz w:val="22"/>
        </w:rPr>
        <w:t>The traffic counts from each</w:t>
      </w:r>
      <w:r w:rsidR="00CE6773">
        <w:rPr>
          <w:rFonts w:ascii="Calibri" w:eastAsia="Calibri" w:hAnsi="Calibri" w:cs="Calibri"/>
          <w:sz w:val="22"/>
        </w:rPr>
        <w:t xml:space="preserve"> </w:t>
      </w:r>
      <w:r w:rsidR="007A24B3" w:rsidRPr="00BC3377">
        <w:rPr>
          <w:rFonts w:ascii="Calibri" w:eastAsia="Calibri" w:hAnsi="Calibri" w:cs="Calibri"/>
          <w:sz w:val="22"/>
        </w:rPr>
        <w:t xml:space="preserve">location are combined to produce the </w:t>
      </w:r>
      <w:r w:rsidR="00564DFD" w:rsidRPr="00BC3377">
        <w:rPr>
          <w:rFonts w:ascii="Calibri" w:eastAsia="Calibri" w:hAnsi="Calibri" w:cs="Calibri"/>
          <w:sz w:val="22"/>
        </w:rPr>
        <w:t xml:space="preserve">overall </w:t>
      </w:r>
      <w:r w:rsidR="007A4045">
        <w:rPr>
          <w:rFonts w:ascii="Calibri" w:eastAsia="Calibri" w:hAnsi="Calibri" w:cs="Calibri"/>
          <w:sz w:val="22"/>
        </w:rPr>
        <w:t>inner and outer c</w:t>
      </w:r>
      <w:r w:rsidR="007A24B3" w:rsidRPr="00BC3377">
        <w:rPr>
          <w:rFonts w:ascii="Calibri" w:eastAsia="Calibri" w:hAnsi="Calibri" w:cs="Calibri"/>
          <w:sz w:val="22"/>
        </w:rPr>
        <w:t>ordon traffic counts.</w:t>
      </w:r>
    </w:p>
    <w:p w:rsidR="005542F7" w:rsidRDefault="007A24B3"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The average weekday inbound flow of vehicles from 07:00-19:00 is recorded for each calendar year.</w:t>
      </w:r>
      <w:r w:rsidR="004E3A40">
        <w:rPr>
          <w:rFonts w:ascii="Calibri" w:eastAsia="Calibri" w:hAnsi="Calibri" w:cs="Times New Roman"/>
          <w:sz w:val="22"/>
          <w:szCs w:val="22"/>
        </w:rPr>
        <w:t xml:space="preserve"> T</w:t>
      </w:r>
      <w:r w:rsidR="007A4045">
        <w:rPr>
          <w:rFonts w:ascii="Calibri" w:eastAsia="Calibri" w:hAnsi="Calibri" w:cs="Times New Roman"/>
          <w:sz w:val="22"/>
          <w:szCs w:val="22"/>
        </w:rPr>
        <w:t>he inner c</w:t>
      </w:r>
      <w:r w:rsidR="00CE6773">
        <w:rPr>
          <w:rFonts w:ascii="Calibri" w:eastAsia="Calibri" w:hAnsi="Calibri" w:cs="Times New Roman"/>
          <w:sz w:val="22"/>
          <w:szCs w:val="22"/>
        </w:rPr>
        <w:t xml:space="preserve">ordon count </w:t>
      </w:r>
      <w:r w:rsidR="004E3A40">
        <w:rPr>
          <w:rFonts w:ascii="Calibri" w:eastAsia="Calibri" w:hAnsi="Calibri" w:cs="Times New Roman"/>
          <w:sz w:val="22"/>
          <w:szCs w:val="22"/>
        </w:rPr>
        <w:t>provides an indication of the average number of vehicles entering central Oxford on</w:t>
      </w:r>
      <w:r w:rsidR="007A4045">
        <w:rPr>
          <w:rFonts w:ascii="Calibri" w:eastAsia="Calibri" w:hAnsi="Calibri" w:cs="Times New Roman"/>
          <w:sz w:val="22"/>
          <w:szCs w:val="22"/>
        </w:rPr>
        <w:t xml:space="preserve"> any given weekday, whilst the outer c</w:t>
      </w:r>
      <w:r w:rsidR="004E3A40">
        <w:rPr>
          <w:rFonts w:ascii="Calibri" w:eastAsia="Calibri" w:hAnsi="Calibri" w:cs="Times New Roman"/>
          <w:sz w:val="22"/>
          <w:szCs w:val="22"/>
        </w:rPr>
        <w:t>ordon count provides a</w:t>
      </w:r>
      <w:r w:rsidR="007A4045">
        <w:rPr>
          <w:rFonts w:ascii="Calibri" w:eastAsia="Calibri" w:hAnsi="Calibri" w:cs="Times New Roman"/>
          <w:sz w:val="22"/>
          <w:szCs w:val="22"/>
        </w:rPr>
        <w:t>n indication</w:t>
      </w:r>
      <w:r w:rsidR="004E3A40" w:rsidRPr="004E3A40">
        <w:rPr>
          <w:rFonts w:ascii="Calibri" w:eastAsia="Calibri" w:hAnsi="Calibri" w:cs="Times New Roman"/>
          <w:sz w:val="22"/>
          <w:szCs w:val="22"/>
        </w:rPr>
        <w:t xml:space="preserve"> of the number of vehicles entering Oxford across the </w:t>
      </w:r>
      <w:r w:rsidR="003161C9" w:rsidRPr="004E3A40">
        <w:rPr>
          <w:rFonts w:ascii="Calibri" w:eastAsia="Calibri" w:hAnsi="Calibri" w:cs="Times New Roman"/>
          <w:sz w:val="22"/>
          <w:szCs w:val="22"/>
        </w:rPr>
        <w:t>city</w:t>
      </w:r>
      <w:r w:rsidR="004E3A40" w:rsidRPr="004E3A40">
        <w:rPr>
          <w:rFonts w:ascii="Calibri" w:eastAsia="Calibri" w:hAnsi="Calibri" w:cs="Times New Roman"/>
          <w:sz w:val="22"/>
          <w:szCs w:val="22"/>
        </w:rPr>
        <w:t xml:space="preserve"> boundary</w:t>
      </w:r>
      <w:r w:rsidR="00CE6773">
        <w:rPr>
          <w:rFonts w:ascii="Calibri" w:eastAsia="Calibri" w:hAnsi="Calibri" w:cs="Times New Roman"/>
          <w:sz w:val="22"/>
          <w:szCs w:val="22"/>
        </w:rPr>
        <w:t>.</w:t>
      </w:r>
    </w:p>
    <w:p w:rsidR="00BC3377" w:rsidRDefault="00BC3377" w:rsidP="00BC3377">
      <w:pPr>
        <w:spacing w:after="200" w:line="276" w:lineRule="auto"/>
        <w:ind w:left="360"/>
        <w:jc w:val="center"/>
        <w:rPr>
          <w:rFonts w:asciiTheme="minorHAnsi" w:hAnsiTheme="minorHAnsi" w:cstheme="minorHAnsi"/>
          <w:sz w:val="20"/>
          <w:szCs w:val="22"/>
        </w:rPr>
      </w:pPr>
      <w:r>
        <w:rPr>
          <w:noProof/>
          <w:lang w:eastAsia="en-GB"/>
        </w:rPr>
        <w:drawing>
          <wp:inline distT="0" distB="0" distL="0" distR="0" wp14:anchorId="3DD5EADB" wp14:editId="529FAA66">
            <wp:extent cx="5829300" cy="3438525"/>
            <wp:effectExtent l="0" t="0" r="0" b="0"/>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8B306D">
        <w:rPr>
          <w:rFonts w:asciiTheme="minorHAnsi" w:hAnsiTheme="minorHAnsi" w:cstheme="minorHAnsi"/>
          <w:b/>
          <w:sz w:val="20"/>
          <w:szCs w:val="22"/>
        </w:rPr>
        <w:t>Figure 30</w:t>
      </w:r>
      <w:r w:rsidR="004E3A40">
        <w:rPr>
          <w:rFonts w:asciiTheme="minorHAnsi" w:hAnsiTheme="minorHAnsi" w:cstheme="minorHAnsi"/>
          <w:b/>
          <w:sz w:val="20"/>
          <w:szCs w:val="22"/>
        </w:rPr>
        <w:t xml:space="preserve">: </w:t>
      </w:r>
      <w:r w:rsidR="004E3A40">
        <w:rPr>
          <w:rFonts w:asciiTheme="minorHAnsi" w:hAnsiTheme="minorHAnsi" w:cstheme="minorHAnsi"/>
          <w:sz w:val="20"/>
          <w:szCs w:val="22"/>
        </w:rPr>
        <w:t xml:space="preserve">Average weekday inbound traffic at the Inner and Outer Cordons 2006 </w:t>
      </w:r>
      <w:r>
        <w:rPr>
          <w:rFonts w:asciiTheme="minorHAnsi" w:hAnsiTheme="minorHAnsi" w:cstheme="minorHAnsi"/>
          <w:sz w:val="20"/>
          <w:szCs w:val="22"/>
        </w:rPr>
        <w:t>–</w:t>
      </w:r>
      <w:r w:rsidR="004E3A40">
        <w:rPr>
          <w:rFonts w:asciiTheme="minorHAnsi" w:hAnsiTheme="minorHAnsi" w:cstheme="minorHAnsi"/>
          <w:sz w:val="20"/>
          <w:szCs w:val="22"/>
        </w:rPr>
        <w:t xml:space="preserve"> 2013</w:t>
      </w:r>
      <w:r>
        <w:rPr>
          <w:rFonts w:asciiTheme="minorHAnsi" w:hAnsiTheme="minorHAnsi" w:cstheme="minorHAnsi"/>
          <w:sz w:val="20"/>
          <w:szCs w:val="22"/>
        </w:rPr>
        <w:t>*</w:t>
      </w:r>
    </w:p>
    <w:p w:rsidR="004E3A40" w:rsidRPr="004E3A40" w:rsidRDefault="00BC3377" w:rsidP="00BC3377">
      <w:pPr>
        <w:spacing w:after="200" w:line="276" w:lineRule="auto"/>
        <w:ind w:left="360"/>
        <w:rPr>
          <w:rFonts w:ascii="Calibri" w:eastAsia="Calibri" w:hAnsi="Calibri" w:cs="Times New Roman"/>
          <w:sz w:val="22"/>
          <w:szCs w:val="22"/>
        </w:rPr>
      </w:pPr>
      <w:r>
        <w:rPr>
          <w:rFonts w:asciiTheme="minorHAnsi" w:hAnsiTheme="minorHAnsi" w:cstheme="minorHAnsi"/>
          <w:sz w:val="20"/>
          <w:szCs w:val="22"/>
        </w:rPr>
        <w:t>*</w:t>
      </w:r>
      <w:r>
        <w:rPr>
          <w:rFonts w:asciiTheme="minorHAnsi" w:hAnsiTheme="minorHAnsi" w:cstheme="minorHAnsi"/>
          <w:i/>
          <w:sz w:val="18"/>
          <w:szCs w:val="22"/>
        </w:rPr>
        <w:t xml:space="preserve">Note: In 2010 an additional outer cordon monitoring location was added on Oxford Road, North of Bagley Wood. Data from two outer cordon monitoring locations </w:t>
      </w:r>
      <w:r w:rsidR="00221410">
        <w:rPr>
          <w:rFonts w:asciiTheme="minorHAnsi" w:hAnsiTheme="minorHAnsi" w:cstheme="minorHAnsi"/>
          <w:i/>
          <w:sz w:val="18"/>
          <w:szCs w:val="22"/>
        </w:rPr>
        <w:t>(Oxford Road and Beaumont Road) was unavailable for</w:t>
      </w:r>
      <w:r w:rsidR="00F872A6">
        <w:rPr>
          <w:rFonts w:asciiTheme="minorHAnsi" w:hAnsiTheme="minorHAnsi" w:cstheme="minorHAnsi"/>
          <w:i/>
          <w:sz w:val="18"/>
          <w:szCs w:val="22"/>
        </w:rPr>
        <w:t xml:space="preserve"> </w:t>
      </w:r>
      <w:proofErr w:type="gramStart"/>
      <w:r>
        <w:rPr>
          <w:rFonts w:asciiTheme="minorHAnsi" w:hAnsiTheme="minorHAnsi" w:cstheme="minorHAnsi"/>
          <w:i/>
          <w:sz w:val="18"/>
          <w:szCs w:val="22"/>
        </w:rPr>
        <w:t xml:space="preserve">2013 </w:t>
      </w:r>
      <w:r w:rsidR="00221410">
        <w:rPr>
          <w:rFonts w:asciiTheme="minorHAnsi" w:hAnsiTheme="minorHAnsi" w:cstheme="minorHAnsi"/>
          <w:i/>
          <w:sz w:val="18"/>
          <w:szCs w:val="22"/>
        </w:rPr>
        <w:t>.</w:t>
      </w:r>
      <w:proofErr w:type="gramEnd"/>
      <w:r>
        <w:rPr>
          <w:rFonts w:asciiTheme="minorHAnsi" w:hAnsiTheme="minorHAnsi" w:cstheme="minorHAnsi"/>
          <w:i/>
          <w:sz w:val="18"/>
          <w:szCs w:val="22"/>
        </w:rPr>
        <w:t xml:space="preserve"> </w:t>
      </w:r>
      <w:r w:rsidR="004E3A40">
        <w:rPr>
          <w:rFonts w:asciiTheme="minorHAnsi" w:hAnsiTheme="minorHAnsi" w:cstheme="minorHAnsi"/>
          <w:sz w:val="20"/>
          <w:szCs w:val="22"/>
        </w:rPr>
        <w:t xml:space="preserve"> </w:t>
      </w:r>
    </w:p>
    <w:p w:rsidR="00E92A7D" w:rsidRDefault="00E92A7D" w:rsidP="000773F3">
      <w:pPr>
        <w:numPr>
          <w:ilvl w:val="0"/>
          <w:numId w:val="7"/>
        </w:numPr>
        <w:spacing w:after="200" w:line="276" w:lineRule="auto"/>
        <w:jc w:val="both"/>
        <w:rPr>
          <w:rFonts w:ascii="Calibri" w:eastAsia="Calibri" w:hAnsi="Calibri" w:cs="Times New Roman"/>
          <w:sz w:val="22"/>
          <w:szCs w:val="22"/>
        </w:rPr>
      </w:pPr>
      <w:r>
        <w:rPr>
          <w:rFonts w:ascii="Calibri" w:eastAsia="Calibri" w:hAnsi="Calibri" w:cs="Calibri"/>
          <w:sz w:val="22"/>
        </w:rPr>
        <w:t xml:space="preserve">Figure </w:t>
      </w:r>
      <w:r w:rsidR="008B306D">
        <w:rPr>
          <w:rFonts w:ascii="Calibri" w:eastAsia="Calibri" w:hAnsi="Calibri" w:cs="Calibri"/>
          <w:sz w:val="22"/>
        </w:rPr>
        <w:t>30</w:t>
      </w:r>
      <w:r w:rsidR="004E3A40" w:rsidRPr="00221410">
        <w:rPr>
          <w:rFonts w:ascii="Calibri" w:eastAsia="Calibri" w:hAnsi="Calibri" w:cs="Calibri"/>
          <w:sz w:val="22"/>
        </w:rPr>
        <w:t xml:space="preserve"> shows</w:t>
      </w:r>
      <w:r w:rsidR="00564DFD" w:rsidRPr="00221410">
        <w:rPr>
          <w:rFonts w:ascii="Calibri" w:eastAsia="Calibri" w:hAnsi="Calibri" w:cs="Calibri"/>
          <w:sz w:val="22"/>
        </w:rPr>
        <w:t xml:space="preserve"> that </w:t>
      </w:r>
      <w:r w:rsidR="007A4045">
        <w:rPr>
          <w:rFonts w:ascii="Calibri" w:eastAsia="Calibri" w:hAnsi="Calibri" w:cs="Calibri"/>
          <w:sz w:val="22"/>
        </w:rPr>
        <w:t>inner c</w:t>
      </w:r>
      <w:r w:rsidR="00221410">
        <w:rPr>
          <w:rFonts w:ascii="Calibri" w:eastAsia="Calibri" w:hAnsi="Calibri" w:cs="Calibri"/>
          <w:sz w:val="22"/>
        </w:rPr>
        <w:t>ordon traffic flows have decreased over time when compared to the 2006 Core Strategy baseline. It is</w:t>
      </w:r>
      <w:r w:rsidR="007A4045">
        <w:rPr>
          <w:rFonts w:ascii="Calibri" w:eastAsia="Calibri" w:hAnsi="Calibri" w:cs="Calibri"/>
          <w:sz w:val="22"/>
        </w:rPr>
        <w:t xml:space="preserve"> difficult to compare the 2013 o</w:t>
      </w:r>
      <w:r w:rsidR="00221410">
        <w:rPr>
          <w:rFonts w:ascii="Calibri" w:eastAsia="Calibri" w:hAnsi="Calibri" w:cs="Calibri"/>
          <w:sz w:val="22"/>
        </w:rPr>
        <w:t>ut</w:t>
      </w:r>
      <w:r w:rsidR="007A4045">
        <w:rPr>
          <w:rFonts w:ascii="Calibri" w:eastAsia="Calibri" w:hAnsi="Calibri" w:cs="Calibri"/>
          <w:sz w:val="22"/>
        </w:rPr>
        <w:t>er c</w:t>
      </w:r>
      <w:r w:rsidR="00221410">
        <w:rPr>
          <w:rFonts w:ascii="Calibri" w:eastAsia="Calibri" w:hAnsi="Calibri" w:cs="Calibri"/>
          <w:sz w:val="22"/>
        </w:rPr>
        <w:t xml:space="preserve">ordon figures with previous years as data from two monitoring locations was </w:t>
      </w:r>
      <w:r w:rsidR="00CE6773">
        <w:rPr>
          <w:rFonts w:ascii="Calibri" w:eastAsia="Calibri" w:hAnsi="Calibri" w:cs="Calibri"/>
          <w:sz w:val="22"/>
        </w:rPr>
        <w:t>unavailable,</w:t>
      </w:r>
      <w:r w:rsidR="00221410">
        <w:rPr>
          <w:rFonts w:ascii="Calibri" w:eastAsia="Calibri" w:hAnsi="Calibri" w:cs="Calibri"/>
          <w:sz w:val="22"/>
        </w:rPr>
        <w:t xml:space="preserve"> however traffic flows have shown a </w:t>
      </w:r>
      <w:r w:rsidR="007A4045">
        <w:rPr>
          <w:rFonts w:ascii="Calibri" w:eastAsia="Calibri" w:hAnsi="Calibri" w:cs="Calibri"/>
          <w:sz w:val="22"/>
        </w:rPr>
        <w:t>slight decrease at a number of o</w:t>
      </w:r>
      <w:r w:rsidR="00221410">
        <w:rPr>
          <w:rFonts w:ascii="Calibri" w:eastAsia="Calibri" w:hAnsi="Calibri" w:cs="Calibri"/>
          <w:sz w:val="22"/>
        </w:rPr>
        <w:t>ut</w:t>
      </w:r>
      <w:r w:rsidR="00F872A6">
        <w:rPr>
          <w:rFonts w:ascii="Calibri" w:eastAsia="Calibri" w:hAnsi="Calibri" w:cs="Calibri"/>
          <w:sz w:val="22"/>
        </w:rPr>
        <w:t>er</w:t>
      </w:r>
      <w:r w:rsidR="007A4045">
        <w:rPr>
          <w:rFonts w:ascii="Calibri" w:eastAsia="Calibri" w:hAnsi="Calibri" w:cs="Calibri"/>
          <w:sz w:val="22"/>
        </w:rPr>
        <w:t xml:space="preserve"> c</w:t>
      </w:r>
      <w:r w:rsidR="00221410">
        <w:rPr>
          <w:rFonts w:ascii="Calibri" w:eastAsia="Calibri" w:hAnsi="Calibri" w:cs="Calibri"/>
          <w:sz w:val="22"/>
        </w:rPr>
        <w:t xml:space="preserve">ordon </w:t>
      </w:r>
      <w:r w:rsidR="00CE6773">
        <w:rPr>
          <w:rFonts w:ascii="Calibri" w:eastAsia="Calibri" w:hAnsi="Calibri" w:cs="Calibri"/>
          <w:sz w:val="22"/>
        </w:rPr>
        <w:t>monitoring</w:t>
      </w:r>
      <w:r w:rsidR="00221410">
        <w:rPr>
          <w:rFonts w:ascii="Calibri" w:eastAsia="Calibri" w:hAnsi="Calibri" w:cs="Calibri"/>
          <w:sz w:val="22"/>
        </w:rPr>
        <w:t xml:space="preserve"> </w:t>
      </w:r>
      <w:r w:rsidR="00CE6773">
        <w:rPr>
          <w:rFonts w:ascii="Calibri" w:eastAsia="Calibri" w:hAnsi="Calibri" w:cs="Calibri"/>
          <w:sz w:val="22"/>
        </w:rPr>
        <w:t>locations</w:t>
      </w:r>
      <w:r w:rsidR="00221410">
        <w:rPr>
          <w:rFonts w:ascii="Calibri" w:eastAsia="Calibri" w:hAnsi="Calibri" w:cs="Calibri"/>
          <w:sz w:val="22"/>
        </w:rPr>
        <w:t xml:space="preserve"> suggesting that overall </w:t>
      </w:r>
      <w:r w:rsidR="00CE6773">
        <w:rPr>
          <w:rFonts w:ascii="Calibri" w:eastAsia="Calibri" w:hAnsi="Calibri" w:cs="Calibri"/>
          <w:sz w:val="22"/>
        </w:rPr>
        <w:t xml:space="preserve">traffic </w:t>
      </w:r>
      <w:r w:rsidR="00221410">
        <w:rPr>
          <w:rFonts w:ascii="Calibri" w:eastAsia="Calibri" w:hAnsi="Calibri" w:cs="Calibri"/>
          <w:sz w:val="22"/>
        </w:rPr>
        <w:t>growth</w:t>
      </w:r>
      <w:r w:rsidR="00CE6773">
        <w:rPr>
          <w:rFonts w:ascii="Calibri" w:eastAsia="Calibri" w:hAnsi="Calibri" w:cs="Calibri"/>
          <w:sz w:val="22"/>
        </w:rPr>
        <w:t xml:space="preserve">, if any, </w:t>
      </w:r>
      <w:r w:rsidR="00221410">
        <w:rPr>
          <w:rFonts w:ascii="Calibri" w:eastAsia="Calibri" w:hAnsi="Calibri" w:cs="Calibri"/>
          <w:sz w:val="22"/>
        </w:rPr>
        <w:t xml:space="preserve">is likely to be </w:t>
      </w:r>
      <w:r w:rsidR="00F872A6">
        <w:rPr>
          <w:rFonts w:ascii="Calibri" w:eastAsia="Calibri" w:hAnsi="Calibri" w:cs="Calibri"/>
          <w:sz w:val="22"/>
        </w:rPr>
        <w:t>minimal.</w:t>
      </w:r>
    </w:p>
    <w:p w:rsidR="000773F3" w:rsidRPr="00E92A7D" w:rsidRDefault="005F586C" w:rsidP="00E92A7D">
      <w:pPr>
        <w:spacing w:after="200" w:line="276" w:lineRule="auto"/>
        <w:jc w:val="both"/>
        <w:rPr>
          <w:rFonts w:ascii="Calibri" w:eastAsia="Calibri" w:hAnsi="Calibri" w:cs="Times New Roman"/>
          <w:sz w:val="22"/>
          <w:szCs w:val="22"/>
        </w:rPr>
      </w:pPr>
      <w:r w:rsidRPr="00483A6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38464" behindDoc="0" locked="0" layoutInCell="1" allowOverlap="1" wp14:anchorId="5258F8E6" wp14:editId="3A517455">
                <wp:simplePos x="0" y="0"/>
                <wp:positionH relativeFrom="column">
                  <wp:posOffset>3486150</wp:posOffset>
                </wp:positionH>
                <wp:positionV relativeFrom="paragraph">
                  <wp:posOffset>-609600</wp:posOffset>
                </wp:positionV>
                <wp:extent cx="2427605" cy="3524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5F586C">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81" type="#_x0000_t202" style="position:absolute;left:0;text-align:left;margin-left:274.5pt;margin-top:-48pt;width:191.15pt;height:27.7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" fillcolor="window" stroked="f" strokeweight=".5pt">
                <v:textbox>
                  <w:txbxContent>
                    <w:p w:rsidR="000D3CFF" w:rsidRPr="00483A60" w:rsidRDefault="000D3CFF" w:rsidP="005F586C">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1E78F4" w:rsidRPr="00E92A7D">
        <w:rPr>
          <w:rFonts w:ascii="Calibri" w:eastAsia="Calibri" w:hAnsi="Calibri" w:cs="Calibri"/>
          <w:b/>
          <w:color w:val="3F4F21"/>
          <w:sz w:val="28"/>
          <w:szCs w:val="28"/>
        </w:rPr>
        <w:t>Summary</w:t>
      </w:r>
      <w:r w:rsidR="000773F3" w:rsidRPr="00E92A7D">
        <w:rPr>
          <w:rFonts w:ascii="Calibri" w:eastAsia="Calibri" w:hAnsi="Calibri" w:cs="Calibri"/>
          <w:b/>
          <w:color w:val="3F4F21"/>
          <w:sz w:val="28"/>
          <w:szCs w:val="28"/>
        </w:rPr>
        <w:t>: Cleaner, Greener Oxford</w:t>
      </w:r>
    </w:p>
    <w:tbl>
      <w:tblPr>
        <w:tblStyle w:val="TableGrid"/>
        <w:tblW w:w="0" w:type="auto"/>
        <w:tblInd w:w="95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FDE9D9" w:themeFill="accent6" w:themeFillTint="33"/>
        <w:tblLook w:val="04A0" w:firstRow="1" w:lastRow="0" w:firstColumn="1" w:lastColumn="0" w:noHBand="0" w:noVBand="1"/>
      </w:tblPr>
      <w:tblGrid>
        <w:gridCol w:w="2409"/>
        <w:gridCol w:w="2410"/>
        <w:gridCol w:w="2410"/>
      </w:tblGrid>
      <w:tr w:rsidR="002825EA" w:rsidRPr="00B42F30" w:rsidTr="00B43422">
        <w:tc>
          <w:tcPr>
            <w:tcW w:w="2409" w:type="dxa"/>
            <w:shd w:val="clear" w:color="auto" w:fill="D6E3BC" w:themeFill="accent3" w:themeFillTint="66"/>
          </w:tcPr>
          <w:p w:rsidR="002825EA" w:rsidRDefault="002825EA" w:rsidP="0035034F">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61E8C67B" wp14:editId="3A134236">
                  <wp:extent cx="946033" cy="284862"/>
                  <wp:effectExtent l="0" t="0" r="6985" b="1270"/>
                  <wp:docPr id="207" name="Picture 207"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fficLight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3" cy="289105"/>
                          </a:xfrm>
                          <a:prstGeom prst="rect">
                            <a:avLst/>
                          </a:prstGeom>
                          <a:noFill/>
                          <a:ln>
                            <a:noFill/>
                          </a:ln>
                        </pic:spPr>
                      </pic:pic>
                    </a:graphicData>
                  </a:graphic>
                </wp:inline>
              </w:drawing>
            </w:r>
          </w:p>
        </w:tc>
        <w:tc>
          <w:tcPr>
            <w:tcW w:w="2410" w:type="dxa"/>
            <w:shd w:val="clear" w:color="auto" w:fill="D6E3BC" w:themeFill="accent3" w:themeFillTint="66"/>
          </w:tcPr>
          <w:p w:rsidR="002825EA" w:rsidRDefault="002825EA" w:rsidP="0035034F">
            <w:pPr>
              <w:autoSpaceDE w:val="0"/>
              <w:autoSpaceDN w:val="0"/>
              <w:adjustRightInd w:val="0"/>
              <w:spacing w:before="60" w:after="60"/>
              <w:jc w:val="center"/>
              <w:rPr>
                <w:rFonts w:ascii="Calibri" w:eastAsia="Calibri" w:hAnsi="Calibri" w:cs="Calibri"/>
                <w:color w:val="000000"/>
                <w:sz w:val="22"/>
                <w:szCs w:val="22"/>
              </w:rPr>
            </w:pPr>
            <w:r>
              <w:rPr>
                <w:b/>
                <w:noProof/>
                <w:sz w:val="32"/>
                <w:szCs w:val="32"/>
                <w:lang w:eastAsia="en-GB"/>
              </w:rPr>
              <w:drawing>
                <wp:inline distT="0" distB="0" distL="0" distR="0" wp14:anchorId="0FDFF02E" wp14:editId="1D0DD108">
                  <wp:extent cx="964729" cy="285750"/>
                  <wp:effectExtent l="0" t="0" r="6985" b="0"/>
                  <wp:docPr id="214" name="Picture 214"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rafficLightA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12" cy="290395"/>
                          </a:xfrm>
                          <a:prstGeom prst="rect">
                            <a:avLst/>
                          </a:prstGeom>
                          <a:noFill/>
                          <a:ln>
                            <a:noFill/>
                          </a:ln>
                        </pic:spPr>
                      </pic:pic>
                    </a:graphicData>
                  </a:graphic>
                </wp:inline>
              </w:drawing>
            </w:r>
          </w:p>
        </w:tc>
        <w:tc>
          <w:tcPr>
            <w:tcW w:w="2410" w:type="dxa"/>
            <w:shd w:val="clear" w:color="auto" w:fill="D6E3BC" w:themeFill="accent3" w:themeFillTint="66"/>
          </w:tcPr>
          <w:p w:rsidR="002825EA" w:rsidRPr="00D812A6" w:rsidRDefault="002825EA" w:rsidP="0035034F">
            <w:pPr>
              <w:autoSpaceDE w:val="0"/>
              <w:autoSpaceDN w:val="0"/>
              <w:adjustRightInd w:val="0"/>
              <w:spacing w:before="60" w:after="60"/>
              <w:jc w:val="center"/>
              <w:rPr>
                <w:rFonts w:ascii="Calibri" w:eastAsia="Calibri" w:hAnsi="Calibri" w:cs="Calibri"/>
                <w:color w:val="000000"/>
                <w:sz w:val="22"/>
                <w:szCs w:val="22"/>
              </w:rPr>
            </w:pPr>
            <w:r>
              <w:rPr>
                <w:noProof/>
                <w:lang w:eastAsia="en-GB"/>
              </w:rPr>
              <w:drawing>
                <wp:inline distT="0" distB="0" distL="0" distR="0" wp14:anchorId="3618DBDA" wp14:editId="72B6F9A8">
                  <wp:extent cx="947738" cy="290513"/>
                  <wp:effectExtent l="0" t="0" r="5080" b="0"/>
                  <wp:docPr id="215" name="Picture 215"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TrafficLight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5386" cy="298988"/>
                          </a:xfrm>
                          <a:prstGeom prst="rect">
                            <a:avLst/>
                          </a:prstGeom>
                          <a:noFill/>
                          <a:ln>
                            <a:noFill/>
                          </a:ln>
                        </pic:spPr>
                      </pic:pic>
                    </a:graphicData>
                  </a:graphic>
                </wp:inline>
              </w:drawing>
            </w:r>
          </w:p>
        </w:tc>
      </w:tr>
      <w:tr w:rsidR="002825EA" w:rsidRPr="0067583C" w:rsidTr="00B43422">
        <w:tc>
          <w:tcPr>
            <w:tcW w:w="2409" w:type="dxa"/>
            <w:shd w:val="clear" w:color="auto" w:fill="D6E3BC" w:themeFill="accent3" w:themeFillTint="66"/>
          </w:tcPr>
          <w:p w:rsidR="002825EA" w:rsidRPr="00356479" w:rsidRDefault="00356479" w:rsidP="0035034F">
            <w:pPr>
              <w:autoSpaceDE w:val="0"/>
              <w:autoSpaceDN w:val="0"/>
              <w:adjustRightInd w:val="0"/>
              <w:spacing w:before="60" w:after="60"/>
              <w:jc w:val="center"/>
              <w:rPr>
                <w:rFonts w:ascii="Calibri" w:eastAsia="Calibri" w:hAnsi="Calibri" w:cs="Calibri"/>
                <w:color w:val="000000"/>
                <w:sz w:val="22"/>
                <w:szCs w:val="22"/>
              </w:rPr>
            </w:pPr>
            <w:r w:rsidRPr="00356479">
              <w:rPr>
                <w:rFonts w:ascii="Calibri" w:eastAsia="Calibri" w:hAnsi="Calibri" w:cs="Calibri"/>
                <w:color w:val="000000"/>
                <w:sz w:val="22"/>
                <w:szCs w:val="22"/>
              </w:rPr>
              <w:t>12</w:t>
            </w:r>
            <w:r w:rsidR="002825EA" w:rsidRPr="00356479">
              <w:rPr>
                <w:rFonts w:ascii="Calibri" w:eastAsia="Calibri" w:hAnsi="Calibri" w:cs="Calibri"/>
                <w:color w:val="000000"/>
                <w:sz w:val="22"/>
                <w:szCs w:val="22"/>
              </w:rPr>
              <w:t xml:space="preserve"> (</w:t>
            </w:r>
            <w:r w:rsidRPr="00356479">
              <w:rPr>
                <w:rFonts w:ascii="Calibri" w:eastAsia="Calibri" w:hAnsi="Calibri" w:cs="Calibri"/>
                <w:color w:val="000000"/>
                <w:sz w:val="22"/>
                <w:szCs w:val="22"/>
              </w:rPr>
              <w:t>92</w:t>
            </w:r>
            <w:r w:rsidR="002825EA" w:rsidRPr="00356479">
              <w:rPr>
                <w:rFonts w:ascii="Calibri" w:eastAsia="Calibri" w:hAnsi="Calibri" w:cs="Calibri"/>
                <w:color w:val="000000"/>
                <w:sz w:val="22"/>
                <w:szCs w:val="22"/>
              </w:rPr>
              <w:t>%)</w:t>
            </w:r>
          </w:p>
        </w:tc>
        <w:tc>
          <w:tcPr>
            <w:tcW w:w="2410" w:type="dxa"/>
            <w:shd w:val="clear" w:color="auto" w:fill="D6E3BC" w:themeFill="accent3" w:themeFillTint="66"/>
          </w:tcPr>
          <w:p w:rsidR="002825EA" w:rsidRPr="00356479" w:rsidRDefault="00CC03C9" w:rsidP="0035034F">
            <w:pPr>
              <w:autoSpaceDE w:val="0"/>
              <w:autoSpaceDN w:val="0"/>
              <w:adjustRightInd w:val="0"/>
              <w:spacing w:before="60" w:after="60"/>
              <w:jc w:val="center"/>
              <w:rPr>
                <w:rFonts w:ascii="Calibri" w:eastAsia="Calibri" w:hAnsi="Calibri" w:cs="Calibri"/>
                <w:color w:val="000000"/>
                <w:sz w:val="22"/>
                <w:szCs w:val="22"/>
              </w:rPr>
            </w:pPr>
            <w:r w:rsidRPr="00356479">
              <w:rPr>
                <w:rFonts w:ascii="Calibri" w:eastAsia="Calibri" w:hAnsi="Calibri" w:cs="Calibri"/>
                <w:color w:val="000000"/>
                <w:sz w:val="22"/>
                <w:szCs w:val="22"/>
              </w:rPr>
              <w:t>1</w:t>
            </w:r>
            <w:r w:rsidR="002825EA" w:rsidRPr="00356479">
              <w:rPr>
                <w:rFonts w:ascii="Calibri" w:eastAsia="Calibri" w:hAnsi="Calibri" w:cs="Calibri"/>
                <w:color w:val="000000"/>
                <w:sz w:val="22"/>
                <w:szCs w:val="22"/>
              </w:rPr>
              <w:t xml:space="preserve"> (</w:t>
            </w:r>
            <w:r w:rsidR="00356479" w:rsidRPr="00356479">
              <w:rPr>
                <w:rFonts w:ascii="Calibri" w:eastAsia="Calibri" w:hAnsi="Calibri" w:cs="Calibri"/>
                <w:color w:val="000000"/>
                <w:sz w:val="22"/>
                <w:szCs w:val="22"/>
              </w:rPr>
              <w:t>8</w:t>
            </w:r>
            <w:r w:rsidR="002825EA" w:rsidRPr="00356479">
              <w:rPr>
                <w:rFonts w:ascii="Calibri" w:eastAsia="Calibri" w:hAnsi="Calibri" w:cs="Calibri"/>
                <w:color w:val="000000"/>
                <w:sz w:val="22"/>
                <w:szCs w:val="22"/>
              </w:rPr>
              <w:t>%)</w:t>
            </w:r>
          </w:p>
        </w:tc>
        <w:tc>
          <w:tcPr>
            <w:tcW w:w="2410" w:type="dxa"/>
            <w:shd w:val="clear" w:color="auto" w:fill="D6E3BC" w:themeFill="accent3" w:themeFillTint="66"/>
          </w:tcPr>
          <w:p w:rsidR="002825EA" w:rsidRPr="00356479" w:rsidRDefault="00C577F4" w:rsidP="0035034F">
            <w:pPr>
              <w:autoSpaceDE w:val="0"/>
              <w:autoSpaceDN w:val="0"/>
              <w:adjustRightInd w:val="0"/>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r>
    </w:tbl>
    <w:p w:rsidR="002825EA" w:rsidRPr="00D812A6" w:rsidRDefault="002825EA" w:rsidP="002825EA">
      <w:pPr>
        <w:jc w:val="center"/>
        <w:rPr>
          <w:rFonts w:ascii="Calibri" w:hAnsi="Calibri" w:cs="Calibri"/>
          <w:b/>
          <w:sz w:val="8"/>
          <w:szCs w:val="8"/>
        </w:rPr>
      </w:pPr>
    </w:p>
    <w:p w:rsidR="002825EA" w:rsidRDefault="008B306D" w:rsidP="002825EA">
      <w:pPr>
        <w:jc w:val="center"/>
        <w:rPr>
          <w:rFonts w:ascii="Calibri" w:hAnsi="Calibri" w:cs="Calibri"/>
          <w:sz w:val="20"/>
        </w:rPr>
      </w:pPr>
      <w:r>
        <w:rPr>
          <w:rFonts w:ascii="Calibri" w:hAnsi="Calibri" w:cs="Calibri"/>
          <w:b/>
          <w:sz w:val="20"/>
        </w:rPr>
        <w:t>Figure 31</w:t>
      </w:r>
      <w:r w:rsidR="002825EA" w:rsidRPr="005C674B">
        <w:rPr>
          <w:rFonts w:ascii="Calibri" w:hAnsi="Calibri" w:cs="Calibri"/>
          <w:sz w:val="20"/>
        </w:rPr>
        <w:t xml:space="preserve">: </w:t>
      </w:r>
      <w:r w:rsidR="002825EA">
        <w:rPr>
          <w:rFonts w:ascii="Calibri" w:hAnsi="Calibri" w:cs="Calibri"/>
          <w:sz w:val="20"/>
        </w:rPr>
        <w:t>Summary of performance against envi</w:t>
      </w:r>
      <w:r w:rsidR="00356479">
        <w:rPr>
          <w:rFonts w:ascii="Calibri" w:hAnsi="Calibri" w:cs="Calibri"/>
          <w:sz w:val="20"/>
        </w:rPr>
        <w:t>ronmental indicators in 2013/14</w:t>
      </w:r>
    </w:p>
    <w:p w:rsidR="002825EA" w:rsidRDefault="002825EA" w:rsidP="00A31762">
      <w:pPr>
        <w:rPr>
          <w:color w:val="632423" w:themeColor="accent2" w:themeShade="80"/>
          <w:sz w:val="22"/>
          <w:szCs w:val="22"/>
        </w:rPr>
      </w:pPr>
    </w:p>
    <w:p w:rsidR="005F586C" w:rsidRPr="00E03ECB" w:rsidRDefault="002825EA" w:rsidP="004335B5">
      <w:pPr>
        <w:numPr>
          <w:ilvl w:val="0"/>
          <w:numId w:val="7"/>
        </w:numPr>
        <w:spacing w:after="200" w:line="276" w:lineRule="auto"/>
        <w:jc w:val="both"/>
        <w:rPr>
          <w:rFonts w:ascii="Calibri" w:eastAsia="Calibri" w:hAnsi="Calibri" w:cs="Times New Roman"/>
          <w:sz w:val="22"/>
          <w:szCs w:val="22"/>
        </w:rPr>
      </w:pPr>
      <w:r>
        <w:rPr>
          <w:rFonts w:ascii="Calibri" w:eastAsia="Calibri" w:hAnsi="Calibri" w:cs="Calibri"/>
          <w:sz w:val="22"/>
        </w:rPr>
        <w:t xml:space="preserve">Figure </w:t>
      </w:r>
      <w:r w:rsidR="008B306D">
        <w:rPr>
          <w:rFonts w:ascii="Calibri" w:eastAsia="Calibri" w:hAnsi="Calibri" w:cs="Calibri"/>
          <w:sz w:val="22"/>
        </w:rPr>
        <w:t>31</w:t>
      </w:r>
      <w:r>
        <w:rPr>
          <w:rFonts w:ascii="Calibri" w:eastAsia="Calibri" w:hAnsi="Calibri" w:cs="Calibri"/>
          <w:sz w:val="22"/>
        </w:rPr>
        <w:t xml:space="preserve"> shows</w:t>
      </w:r>
      <w:r w:rsidR="00E03ECB">
        <w:rPr>
          <w:rFonts w:ascii="Calibri" w:eastAsia="Calibri" w:hAnsi="Calibri" w:cs="Calibri"/>
          <w:sz w:val="22"/>
        </w:rPr>
        <w:t xml:space="preserve"> that the majority of environmental indicators met or made good progress towards </w:t>
      </w:r>
      <w:r w:rsidR="009D0433">
        <w:rPr>
          <w:rFonts w:ascii="Calibri" w:eastAsia="Calibri" w:hAnsi="Calibri" w:cs="Calibri"/>
          <w:sz w:val="22"/>
        </w:rPr>
        <w:t>their targets in 2013/14. A summary of indicator performance that scored green ratings is given blow:</w:t>
      </w:r>
    </w:p>
    <w:p w:rsidR="002825EA" w:rsidRPr="00D2579E" w:rsidRDefault="00D2579E" w:rsidP="004335B5">
      <w:pPr>
        <w:pStyle w:val="ListParagraph"/>
        <w:numPr>
          <w:ilvl w:val="0"/>
          <w:numId w:val="20"/>
        </w:numPr>
        <w:spacing w:after="200" w:line="276" w:lineRule="auto"/>
        <w:jc w:val="both"/>
        <w:rPr>
          <w:rFonts w:ascii="Calibri" w:eastAsia="Calibri" w:hAnsi="Calibri" w:cs="Times New Roman"/>
          <w:sz w:val="22"/>
          <w:szCs w:val="22"/>
        </w:rPr>
      </w:pPr>
      <w:r w:rsidRPr="00D2579E">
        <w:rPr>
          <w:rFonts w:ascii="Calibri" w:eastAsia="Calibri" w:hAnsi="Calibri" w:cs="Calibri"/>
          <w:sz w:val="22"/>
          <w:szCs w:val="22"/>
        </w:rPr>
        <w:t>No net reduction in areas designated for their intrinsic environmental value i.e. SAC, SSSI, RIGS and locally designated sites</w:t>
      </w:r>
      <w:r>
        <w:rPr>
          <w:rFonts w:ascii="Calibri" w:eastAsia="Calibri" w:hAnsi="Calibri" w:cs="Calibri"/>
          <w:sz w:val="22"/>
          <w:szCs w:val="22"/>
        </w:rPr>
        <w:t>.</w:t>
      </w:r>
    </w:p>
    <w:p w:rsidR="002825EA" w:rsidRPr="009E5BB8" w:rsidRDefault="002825EA" w:rsidP="002825EA">
      <w:pPr>
        <w:pStyle w:val="ListParagraph"/>
        <w:spacing w:after="200" w:line="276" w:lineRule="auto"/>
        <w:ind w:left="1080"/>
        <w:jc w:val="both"/>
        <w:rPr>
          <w:rFonts w:ascii="Calibri" w:eastAsia="Calibri" w:hAnsi="Calibri" w:cs="Times New Roman"/>
          <w:sz w:val="22"/>
          <w:szCs w:val="22"/>
          <w:highlight w:val="yellow"/>
        </w:rPr>
      </w:pPr>
    </w:p>
    <w:p w:rsidR="002825EA" w:rsidRPr="009D0433" w:rsidRDefault="009D0433" w:rsidP="004335B5">
      <w:pPr>
        <w:pStyle w:val="ListParagraph"/>
        <w:numPr>
          <w:ilvl w:val="0"/>
          <w:numId w:val="20"/>
        </w:numPr>
        <w:spacing w:after="200" w:line="276" w:lineRule="auto"/>
        <w:jc w:val="both"/>
        <w:rPr>
          <w:rFonts w:ascii="Calibri" w:eastAsia="Calibri" w:hAnsi="Calibri" w:cs="Times New Roman"/>
          <w:sz w:val="22"/>
          <w:szCs w:val="22"/>
        </w:rPr>
      </w:pPr>
      <w:r w:rsidRPr="009D0433">
        <w:rPr>
          <w:rFonts w:ascii="Calibri" w:eastAsia="Calibri" w:hAnsi="Calibri" w:cs="Times New Roman"/>
          <w:sz w:val="22"/>
          <w:szCs w:val="22"/>
        </w:rPr>
        <w:t xml:space="preserve">No planning applications approved contrary to formal Environment Agency objections. </w:t>
      </w:r>
    </w:p>
    <w:p w:rsidR="009D0433" w:rsidRPr="009D0433" w:rsidRDefault="009D0433" w:rsidP="009D0433">
      <w:pPr>
        <w:pStyle w:val="ListParagraph"/>
        <w:spacing w:after="200" w:line="276" w:lineRule="auto"/>
        <w:ind w:left="1080"/>
        <w:jc w:val="both"/>
        <w:rPr>
          <w:rFonts w:ascii="Calibri" w:eastAsia="Calibri" w:hAnsi="Calibri" w:cs="Times New Roman"/>
          <w:sz w:val="22"/>
          <w:szCs w:val="22"/>
          <w:highlight w:val="yellow"/>
        </w:rPr>
      </w:pPr>
    </w:p>
    <w:p w:rsidR="002825EA" w:rsidRPr="009D0433" w:rsidRDefault="009D0433" w:rsidP="004335B5">
      <w:pPr>
        <w:pStyle w:val="ListParagraph"/>
        <w:numPr>
          <w:ilvl w:val="0"/>
          <w:numId w:val="20"/>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14 applications were approved that required a Nat</w:t>
      </w:r>
      <w:r w:rsidR="00380303">
        <w:rPr>
          <w:rFonts w:ascii="Calibri" w:eastAsia="Calibri" w:hAnsi="Calibri" w:cs="Times New Roman"/>
          <w:sz w:val="22"/>
          <w:szCs w:val="22"/>
        </w:rPr>
        <w:t>ural Resource Impact A</w:t>
      </w:r>
      <w:r w:rsidR="007D5F94">
        <w:rPr>
          <w:rFonts w:ascii="Calibri" w:eastAsia="Calibri" w:hAnsi="Calibri" w:cs="Times New Roman"/>
          <w:sz w:val="22"/>
          <w:szCs w:val="22"/>
        </w:rPr>
        <w:t>nalysis</w:t>
      </w:r>
      <w:r w:rsidR="00380303">
        <w:rPr>
          <w:rFonts w:ascii="Calibri" w:eastAsia="Calibri" w:hAnsi="Calibri" w:cs="Times New Roman"/>
          <w:sz w:val="22"/>
          <w:szCs w:val="22"/>
        </w:rPr>
        <w:t xml:space="preserve"> (NRIA).</w:t>
      </w:r>
      <w:r>
        <w:rPr>
          <w:rFonts w:ascii="Calibri" w:eastAsia="Calibri" w:hAnsi="Calibri" w:cs="Times New Roman"/>
          <w:sz w:val="22"/>
          <w:szCs w:val="22"/>
        </w:rPr>
        <w:t xml:space="preserve"> </w:t>
      </w:r>
      <w:r w:rsidR="00380303">
        <w:rPr>
          <w:rFonts w:ascii="Calibri" w:eastAsia="Calibri" w:hAnsi="Calibri" w:cs="Times New Roman"/>
          <w:sz w:val="22"/>
          <w:szCs w:val="22"/>
        </w:rPr>
        <w:t xml:space="preserve">One application had not identified an overall NRIA rating, but had submitted a detailed report showing that the use of natural resources had been fully considered. Of the </w:t>
      </w:r>
      <w:r>
        <w:rPr>
          <w:rFonts w:ascii="Calibri" w:eastAsia="Calibri" w:hAnsi="Calibri" w:cs="Times New Roman"/>
          <w:sz w:val="22"/>
          <w:szCs w:val="22"/>
        </w:rPr>
        <w:t>13</w:t>
      </w:r>
      <w:r w:rsidR="00380303">
        <w:rPr>
          <w:rFonts w:ascii="Calibri" w:eastAsia="Calibri" w:hAnsi="Calibri" w:cs="Times New Roman"/>
          <w:sz w:val="22"/>
          <w:szCs w:val="22"/>
        </w:rPr>
        <w:t xml:space="preserve"> applications that had identified an overall rating, all achieved</w:t>
      </w:r>
      <w:r>
        <w:rPr>
          <w:rFonts w:ascii="Calibri" w:eastAsia="Calibri" w:hAnsi="Calibri" w:cs="Times New Roman"/>
          <w:sz w:val="22"/>
          <w:szCs w:val="22"/>
        </w:rPr>
        <w:t xml:space="preserve"> </w:t>
      </w:r>
      <w:r w:rsidR="00380303">
        <w:rPr>
          <w:rFonts w:ascii="Calibri" w:eastAsia="Calibri" w:hAnsi="Calibri" w:cs="Times New Roman"/>
          <w:sz w:val="22"/>
          <w:szCs w:val="22"/>
        </w:rPr>
        <w:t xml:space="preserve">the minimum score of 6 out of </w:t>
      </w:r>
      <w:proofErr w:type="gramStart"/>
      <w:r w:rsidR="00380303">
        <w:rPr>
          <w:rFonts w:ascii="Calibri" w:eastAsia="Calibri" w:hAnsi="Calibri" w:cs="Times New Roman"/>
          <w:sz w:val="22"/>
          <w:szCs w:val="22"/>
        </w:rPr>
        <w:t>11,</w:t>
      </w:r>
      <w:proofErr w:type="gramEnd"/>
      <w:r w:rsidR="00380303">
        <w:rPr>
          <w:rFonts w:ascii="Calibri" w:eastAsia="Calibri" w:hAnsi="Calibri" w:cs="Times New Roman"/>
          <w:sz w:val="22"/>
          <w:szCs w:val="22"/>
        </w:rPr>
        <w:t xml:space="preserve"> however 9 achieved </w:t>
      </w:r>
      <w:r w:rsidR="007D5F94">
        <w:rPr>
          <w:rFonts w:ascii="Calibri" w:eastAsia="Calibri" w:hAnsi="Calibri" w:cs="Times New Roman"/>
          <w:sz w:val="22"/>
          <w:szCs w:val="22"/>
        </w:rPr>
        <w:t xml:space="preserve">a score </w:t>
      </w:r>
      <w:r>
        <w:rPr>
          <w:rFonts w:ascii="Calibri" w:eastAsia="Calibri" w:hAnsi="Calibri" w:cs="Times New Roman"/>
          <w:sz w:val="22"/>
          <w:szCs w:val="22"/>
        </w:rPr>
        <w:t>of</w:t>
      </w:r>
      <w:r w:rsidR="00380303">
        <w:rPr>
          <w:rFonts w:ascii="Calibri" w:eastAsia="Calibri" w:hAnsi="Calibri" w:cs="Times New Roman"/>
          <w:sz w:val="22"/>
          <w:szCs w:val="22"/>
        </w:rPr>
        <w:t xml:space="preserve"> 8 or higher. 13 of the applications also demonstrated that at least 20% of the site’s energy needs would be met through renewable energy generated on site.</w:t>
      </w:r>
    </w:p>
    <w:p w:rsidR="002825EA" w:rsidRPr="009E5BB8" w:rsidRDefault="002825EA" w:rsidP="002825EA">
      <w:pPr>
        <w:pStyle w:val="ListParagraph"/>
        <w:spacing w:after="200" w:line="276" w:lineRule="auto"/>
        <w:ind w:left="1080"/>
        <w:jc w:val="both"/>
        <w:rPr>
          <w:rFonts w:ascii="Calibri" w:eastAsia="Calibri" w:hAnsi="Calibri" w:cs="Times New Roman"/>
          <w:sz w:val="22"/>
          <w:szCs w:val="22"/>
          <w:highlight w:val="yellow"/>
        </w:rPr>
      </w:pPr>
    </w:p>
    <w:p w:rsidR="002825EA" w:rsidRPr="00356479" w:rsidRDefault="00356479" w:rsidP="004335B5">
      <w:pPr>
        <w:pStyle w:val="ListParagraph"/>
        <w:numPr>
          <w:ilvl w:val="0"/>
          <w:numId w:val="20"/>
        </w:numPr>
        <w:spacing w:after="200" w:line="276" w:lineRule="auto"/>
        <w:jc w:val="both"/>
        <w:rPr>
          <w:rFonts w:ascii="Calibri" w:eastAsia="Calibri" w:hAnsi="Calibri" w:cs="Times New Roman"/>
          <w:sz w:val="22"/>
          <w:szCs w:val="22"/>
        </w:rPr>
      </w:pPr>
      <w:r w:rsidRPr="00356479">
        <w:rPr>
          <w:rFonts w:ascii="Calibri" w:eastAsia="Calibri" w:hAnsi="Calibri" w:cs="Times New Roman"/>
          <w:sz w:val="22"/>
          <w:szCs w:val="22"/>
        </w:rPr>
        <w:t>N</w:t>
      </w:r>
      <w:r w:rsidR="00380303" w:rsidRPr="00356479">
        <w:rPr>
          <w:rFonts w:ascii="Calibri" w:eastAsia="Calibri" w:hAnsi="Calibri" w:cs="Times New Roman"/>
          <w:sz w:val="22"/>
          <w:szCs w:val="22"/>
        </w:rPr>
        <w:t>o inappropriate d</w:t>
      </w:r>
      <w:r w:rsidR="002825EA" w:rsidRPr="00356479">
        <w:rPr>
          <w:rFonts w:ascii="Calibri" w:eastAsia="Calibri" w:hAnsi="Calibri" w:cs="Times New Roman"/>
          <w:sz w:val="22"/>
          <w:szCs w:val="22"/>
        </w:rPr>
        <w:t xml:space="preserve">evelopment </w:t>
      </w:r>
      <w:r w:rsidRPr="00356479">
        <w:rPr>
          <w:rFonts w:ascii="Calibri" w:eastAsia="Calibri" w:hAnsi="Calibri" w:cs="Times New Roman"/>
          <w:sz w:val="22"/>
          <w:szCs w:val="22"/>
        </w:rPr>
        <w:t xml:space="preserve">permitted </w:t>
      </w:r>
      <w:r w:rsidR="002825EA" w:rsidRPr="00356479">
        <w:rPr>
          <w:rFonts w:ascii="Calibri" w:eastAsia="Calibri" w:hAnsi="Calibri" w:cs="Times New Roman"/>
          <w:sz w:val="22"/>
          <w:szCs w:val="22"/>
        </w:rPr>
        <w:t>in the Green Belt</w:t>
      </w:r>
      <w:r w:rsidR="00380303" w:rsidRPr="00356479">
        <w:rPr>
          <w:rFonts w:ascii="Calibri" w:eastAsia="Calibri" w:hAnsi="Calibri" w:cs="Times New Roman"/>
          <w:sz w:val="22"/>
          <w:szCs w:val="22"/>
        </w:rPr>
        <w:t>.</w:t>
      </w:r>
    </w:p>
    <w:p w:rsidR="002825EA" w:rsidRDefault="002825EA" w:rsidP="002825EA">
      <w:pPr>
        <w:pStyle w:val="ListParagraph"/>
        <w:spacing w:after="200" w:line="276" w:lineRule="auto"/>
        <w:ind w:left="1080"/>
        <w:jc w:val="both"/>
        <w:rPr>
          <w:rFonts w:ascii="Calibri" w:eastAsia="Calibri" w:hAnsi="Calibri" w:cs="Times New Roman"/>
          <w:sz w:val="22"/>
          <w:szCs w:val="22"/>
        </w:rPr>
      </w:pPr>
    </w:p>
    <w:p w:rsidR="002825EA" w:rsidRPr="004E2A21" w:rsidRDefault="009E5BB8" w:rsidP="004335B5">
      <w:pPr>
        <w:pStyle w:val="ListParagraph"/>
        <w:numPr>
          <w:ilvl w:val="0"/>
          <w:numId w:val="20"/>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R</w:t>
      </w:r>
      <w:r w:rsidR="004E2A21">
        <w:rPr>
          <w:rFonts w:ascii="Calibri" w:eastAsia="Calibri" w:hAnsi="Calibri" w:cs="Times New Roman"/>
          <w:sz w:val="22"/>
          <w:szCs w:val="22"/>
        </w:rPr>
        <w:t>esidual household w</w:t>
      </w:r>
      <w:r w:rsidR="002825EA" w:rsidRPr="004E2A21">
        <w:rPr>
          <w:rFonts w:ascii="Calibri" w:eastAsia="Calibri" w:hAnsi="Calibri" w:cs="Times New Roman"/>
          <w:sz w:val="22"/>
          <w:szCs w:val="22"/>
        </w:rPr>
        <w:t>aste</w:t>
      </w:r>
      <w:r w:rsidR="004E2A21">
        <w:rPr>
          <w:rFonts w:ascii="Calibri" w:eastAsia="Calibri" w:hAnsi="Calibri" w:cs="Times New Roman"/>
          <w:sz w:val="22"/>
          <w:szCs w:val="22"/>
        </w:rPr>
        <w:t xml:space="preserve"> per household </w:t>
      </w:r>
      <w:r>
        <w:rPr>
          <w:rFonts w:ascii="Calibri" w:eastAsia="Calibri" w:hAnsi="Calibri" w:cs="Times New Roman"/>
          <w:sz w:val="22"/>
          <w:szCs w:val="22"/>
        </w:rPr>
        <w:t xml:space="preserve">has decreased slightly </w:t>
      </w:r>
      <w:r w:rsidR="004E2A21">
        <w:rPr>
          <w:rFonts w:ascii="Calibri" w:eastAsia="Calibri" w:hAnsi="Calibri" w:cs="Times New Roman"/>
          <w:sz w:val="22"/>
          <w:szCs w:val="22"/>
        </w:rPr>
        <w:t>when compare</w:t>
      </w:r>
      <w:r>
        <w:rPr>
          <w:rFonts w:ascii="Calibri" w:eastAsia="Calibri" w:hAnsi="Calibri" w:cs="Times New Roman"/>
          <w:sz w:val="22"/>
          <w:szCs w:val="22"/>
        </w:rPr>
        <w:t>d with the previous monitoring year</w:t>
      </w:r>
      <w:r w:rsidR="004E2A21">
        <w:rPr>
          <w:rFonts w:ascii="Calibri" w:eastAsia="Calibri" w:hAnsi="Calibri" w:cs="Times New Roman"/>
          <w:sz w:val="22"/>
          <w:szCs w:val="22"/>
        </w:rPr>
        <w:t xml:space="preserve">. The proportion of residential waste that is recycled </w:t>
      </w:r>
      <w:r w:rsidR="00380303">
        <w:rPr>
          <w:rFonts w:ascii="Calibri" w:eastAsia="Calibri" w:hAnsi="Calibri" w:cs="Times New Roman"/>
          <w:sz w:val="22"/>
          <w:szCs w:val="22"/>
        </w:rPr>
        <w:t>or composted</w:t>
      </w:r>
      <w:r>
        <w:rPr>
          <w:rFonts w:ascii="Calibri" w:eastAsia="Calibri" w:hAnsi="Calibri" w:cs="Times New Roman"/>
          <w:sz w:val="22"/>
          <w:szCs w:val="22"/>
        </w:rPr>
        <w:t xml:space="preserve"> </w:t>
      </w:r>
      <w:r w:rsidR="004E2A21">
        <w:rPr>
          <w:rFonts w:ascii="Calibri" w:eastAsia="Calibri" w:hAnsi="Calibri" w:cs="Times New Roman"/>
          <w:sz w:val="22"/>
          <w:szCs w:val="22"/>
        </w:rPr>
        <w:t xml:space="preserve">increased to 44.88%, showing good progress towards the </w:t>
      </w:r>
      <w:r>
        <w:rPr>
          <w:rFonts w:ascii="Calibri" w:eastAsia="Calibri" w:hAnsi="Calibri" w:cs="Times New Roman"/>
          <w:sz w:val="22"/>
          <w:szCs w:val="22"/>
        </w:rPr>
        <w:t xml:space="preserve">meeting the </w:t>
      </w:r>
      <w:r w:rsidR="004E2A21">
        <w:rPr>
          <w:rFonts w:ascii="Calibri" w:eastAsia="Calibri" w:hAnsi="Calibri" w:cs="Times New Roman"/>
          <w:sz w:val="22"/>
          <w:szCs w:val="22"/>
        </w:rPr>
        <w:t xml:space="preserve">Core strategy target of </w:t>
      </w:r>
      <w:r>
        <w:rPr>
          <w:rFonts w:ascii="Calibri" w:eastAsia="Calibri" w:hAnsi="Calibri" w:cs="Times New Roman"/>
          <w:sz w:val="22"/>
          <w:szCs w:val="22"/>
        </w:rPr>
        <w:t>45% by March 2015.</w:t>
      </w:r>
      <w:r w:rsidR="004E2A21">
        <w:rPr>
          <w:rFonts w:ascii="Calibri" w:eastAsia="Calibri" w:hAnsi="Calibri" w:cs="Times New Roman"/>
          <w:sz w:val="22"/>
          <w:szCs w:val="22"/>
        </w:rPr>
        <w:t xml:space="preserve"> </w:t>
      </w:r>
    </w:p>
    <w:p w:rsidR="002825EA" w:rsidRDefault="002825EA" w:rsidP="002825EA">
      <w:pPr>
        <w:pStyle w:val="ListParagraph"/>
        <w:spacing w:after="200" w:line="276" w:lineRule="auto"/>
        <w:ind w:left="1080"/>
        <w:jc w:val="both"/>
        <w:rPr>
          <w:rFonts w:ascii="Calibri" w:eastAsia="Calibri" w:hAnsi="Calibri" w:cs="Times New Roman"/>
          <w:sz w:val="22"/>
          <w:szCs w:val="22"/>
        </w:rPr>
      </w:pPr>
    </w:p>
    <w:p w:rsidR="002825EA" w:rsidRDefault="009E5BB8" w:rsidP="004335B5">
      <w:pPr>
        <w:pStyle w:val="ListParagraph"/>
        <w:numPr>
          <w:ilvl w:val="0"/>
          <w:numId w:val="20"/>
        </w:numPr>
        <w:spacing w:after="200" w:line="276" w:lineRule="auto"/>
        <w:jc w:val="both"/>
        <w:rPr>
          <w:rFonts w:ascii="Calibri" w:eastAsia="Calibri" w:hAnsi="Calibri" w:cs="Times New Roman"/>
          <w:sz w:val="22"/>
          <w:szCs w:val="22"/>
        </w:rPr>
      </w:pPr>
      <w:r w:rsidRPr="009E5BB8">
        <w:rPr>
          <w:rFonts w:ascii="Calibri" w:eastAsia="Calibri" w:hAnsi="Calibri" w:cs="Times New Roman"/>
          <w:sz w:val="22"/>
          <w:szCs w:val="22"/>
        </w:rPr>
        <w:t>No net increase in h</w:t>
      </w:r>
      <w:r w:rsidR="002825EA" w:rsidRPr="009E5BB8">
        <w:rPr>
          <w:rFonts w:ascii="Calibri" w:eastAsia="Calibri" w:hAnsi="Calibri" w:cs="Times New Roman"/>
          <w:sz w:val="22"/>
          <w:szCs w:val="22"/>
        </w:rPr>
        <w:t>eritage assets at risk</w:t>
      </w:r>
      <w:r w:rsidRPr="009E5BB8">
        <w:rPr>
          <w:rFonts w:ascii="Calibri" w:eastAsia="Calibri" w:hAnsi="Calibri" w:cs="Times New Roman"/>
          <w:sz w:val="22"/>
          <w:szCs w:val="22"/>
        </w:rPr>
        <w:t xml:space="preserve"> in the </w:t>
      </w:r>
      <w:r w:rsidR="003161C9" w:rsidRPr="009E5BB8">
        <w:rPr>
          <w:rFonts w:ascii="Calibri" w:eastAsia="Calibri" w:hAnsi="Calibri" w:cs="Times New Roman"/>
          <w:sz w:val="22"/>
          <w:szCs w:val="22"/>
        </w:rPr>
        <w:t>city</w:t>
      </w:r>
      <w:r w:rsidRPr="009E5BB8">
        <w:rPr>
          <w:rFonts w:ascii="Calibri" w:eastAsia="Calibri" w:hAnsi="Calibri" w:cs="Times New Roman"/>
          <w:sz w:val="22"/>
          <w:szCs w:val="22"/>
        </w:rPr>
        <w:t xml:space="preserve"> when compared to the Core Strategy baseline. </w:t>
      </w:r>
    </w:p>
    <w:p w:rsidR="005452DF" w:rsidRPr="005452DF" w:rsidRDefault="005452DF" w:rsidP="005452DF">
      <w:pPr>
        <w:pStyle w:val="ListParagraph"/>
        <w:spacing w:after="200" w:line="276" w:lineRule="auto"/>
        <w:ind w:left="1080"/>
        <w:jc w:val="both"/>
        <w:rPr>
          <w:rFonts w:ascii="Calibri" w:eastAsia="Calibri" w:hAnsi="Calibri" w:cs="Times New Roman"/>
          <w:sz w:val="22"/>
          <w:szCs w:val="22"/>
        </w:rPr>
      </w:pPr>
    </w:p>
    <w:p w:rsidR="002825EA" w:rsidRPr="00E40DF2" w:rsidRDefault="009E5BB8" w:rsidP="004335B5">
      <w:pPr>
        <w:pStyle w:val="ListParagraph"/>
        <w:numPr>
          <w:ilvl w:val="0"/>
          <w:numId w:val="20"/>
        </w:numPr>
        <w:spacing w:after="200" w:line="276" w:lineRule="auto"/>
        <w:jc w:val="both"/>
        <w:rPr>
          <w:rFonts w:ascii="Calibri" w:eastAsia="Calibri" w:hAnsi="Calibri" w:cs="Times New Roman"/>
          <w:sz w:val="22"/>
          <w:szCs w:val="22"/>
        </w:rPr>
      </w:pPr>
      <w:r w:rsidRPr="00E40DF2">
        <w:rPr>
          <w:rFonts w:ascii="Calibri" w:eastAsia="Calibri" w:hAnsi="Calibri" w:cs="Times New Roman"/>
          <w:sz w:val="22"/>
          <w:szCs w:val="22"/>
        </w:rPr>
        <w:t xml:space="preserve">0% of conservation area consents were granted contrary to officer and English Heritage advice. </w:t>
      </w:r>
    </w:p>
    <w:p w:rsidR="002825EA" w:rsidRPr="00E40DF2" w:rsidRDefault="002825EA" w:rsidP="002825EA">
      <w:pPr>
        <w:pStyle w:val="ListParagraph"/>
        <w:spacing w:after="200" w:line="276" w:lineRule="auto"/>
        <w:ind w:left="1080"/>
        <w:jc w:val="both"/>
        <w:rPr>
          <w:rFonts w:ascii="Calibri" w:eastAsia="Calibri" w:hAnsi="Calibri" w:cs="Times New Roman"/>
          <w:sz w:val="22"/>
          <w:szCs w:val="22"/>
        </w:rPr>
      </w:pPr>
    </w:p>
    <w:p w:rsidR="002825EA" w:rsidRPr="00E40DF2" w:rsidRDefault="00E40DF2" w:rsidP="004335B5">
      <w:pPr>
        <w:pStyle w:val="ListParagraph"/>
        <w:numPr>
          <w:ilvl w:val="0"/>
          <w:numId w:val="20"/>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83% of appeals that cited conservation policies as a reason for refusal were dismissed by Inspectors at appeal.</w:t>
      </w:r>
    </w:p>
    <w:p w:rsidR="002825EA" w:rsidRPr="00E40DF2" w:rsidRDefault="002825EA" w:rsidP="002825EA">
      <w:pPr>
        <w:pStyle w:val="ListParagraph"/>
        <w:spacing w:after="200" w:line="276" w:lineRule="auto"/>
        <w:ind w:left="1080"/>
        <w:jc w:val="both"/>
        <w:rPr>
          <w:rFonts w:ascii="Calibri" w:eastAsia="Calibri" w:hAnsi="Calibri" w:cs="Times New Roman"/>
          <w:sz w:val="22"/>
          <w:szCs w:val="22"/>
        </w:rPr>
      </w:pPr>
    </w:p>
    <w:p w:rsidR="002825EA" w:rsidRPr="00E40DF2" w:rsidRDefault="00CC03C9" w:rsidP="004335B5">
      <w:pPr>
        <w:pStyle w:val="ListParagraph"/>
        <w:numPr>
          <w:ilvl w:val="0"/>
          <w:numId w:val="20"/>
        </w:numPr>
        <w:rPr>
          <w:rFonts w:ascii="Calibri" w:eastAsia="Calibri" w:hAnsi="Calibri" w:cs="Times New Roman"/>
          <w:sz w:val="22"/>
          <w:szCs w:val="22"/>
        </w:rPr>
      </w:pPr>
      <w:r w:rsidRPr="00E40DF2">
        <w:rPr>
          <w:rFonts w:ascii="Calibri" w:eastAsia="Calibri" w:hAnsi="Calibri" w:cs="Times New Roman"/>
          <w:sz w:val="22"/>
          <w:szCs w:val="22"/>
        </w:rPr>
        <w:t>There were no permissions granted for the felling of trees subject to a TPO contrary to officers’ recommendations in 2013/14.</w:t>
      </w:r>
    </w:p>
    <w:p w:rsidR="002825EA" w:rsidRPr="00E40DF2" w:rsidRDefault="002825EA" w:rsidP="002825EA">
      <w:pPr>
        <w:pStyle w:val="ListParagraph"/>
        <w:spacing w:after="200" w:line="276" w:lineRule="auto"/>
        <w:ind w:left="1080"/>
        <w:jc w:val="both"/>
        <w:rPr>
          <w:rFonts w:ascii="Calibri" w:eastAsia="Calibri" w:hAnsi="Calibri" w:cs="Times New Roman"/>
          <w:sz w:val="22"/>
          <w:szCs w:val="22"/>
        </w:rPr>
      </w:pPr>
    </w:p>
    <w:p w:rsidR="002825EA" w:rsidRPr="00E92A7D" w:rsidRDefault="00380303" w:rsidP="00E92A7D">
      <w:pPr>
        <w:pStyle w:val="ListParagraph"/>
        <w:numPr>
          <w:ilvl w:val="0"/>
          <w:numId w:val="20"/>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No applications </w:t>
      </w:r>
      <w:r w:rsidR="007D5F94">
        <w:rPr>
          <w:rFonts w:ascii="Calibri" w:eastAsia="Calibri" w:hAnsi="Calibri" w:cs="Times New Roman"/>
          <w:sz w:val="22"/>
          <w:szCs w:val="22"/>
        </w:rPr>
        <w:t xml:space="preserve">were </w:t>
      </w:r>
      <w:r>
        <w:rPr>
          <w:rFonts w:ascii="Calibri" w:eastAsia="Calibri" w:hAnsi="Calibri" w:cs="Times New Roman"/>
          <w:sz w:val="22"/>
          <w:szCs w:val="22"/>
        </w:rPr>
        <w:t>permitted where there would be a l</w:t>
      </w:r>
      <w:r w:rsidR="002825EA" w:rsidRPr="00380303">
        <w:rPr>
          <w:rFonts w:ascii="Calibri" w:eastAsia="Calibri" w:hAnsi="Calibri" w:cs="Times New Roman"/>
          <w:sz w:val="22"/>
          <w:szCs w:val="22"/>
        </w:rPr>
        <w:t>oss of public</w:t>
      </w:r>
      <w:r>
        <w:rPr>
          <w:rFonts w:ascii="Calibri" w:eastAsia="Calibri" w:hAnsi="Calibri" w:cs="Times New Roman"/>
          <w:sz w:val="22"/>
          <w:szCs w:val="22"/>
        </w:rPr>
        <w:t>ly accessible</w:t>
      </w:r>
      <w:r w:rsidR="002825EA" w:rsidRPr="00380303">
        <w:rPr>
          <w:rFonts w:ascii="Calibri" w:eastAsia="Calibri" w:hAnsi="Calibri" w:cs="Times New Roman"/>
          <w:sz w:val="22"/>
          <w:szCs w:val="22"/>
        </w:rPr>
        <w:t xml:space="preserve"> </w:t>
      </w:r>
      <w:r>
        <w:rPr>
          <w:rFonts w:ascii="Calibri" w:eastAsia="Calibri" w:hAnsi="Calibri" w:cs="Times New Roman"/>
          <w:sz w:val="22"/>
          <w:szCs w:val="22"/>
        </w:rPr>
        <w:t>open space, outdoor sports or recreation facilities.</w:t>
      </w:r>
    </w:p>
    <w:p w:rsidR="002825EA" w:rsidRPr="009E5BB8" w:rsidRDefault="00BD1421" w:rsidP="004335B5">
      <w:pPr>
        <w:pStyle w:val="ListParagraph"/>
        <w:numPr>
          <w:ilvl w:val="0"/>
          <w:numId w:val="20"/>
        </w:numPr>
        <w:spacing w:after="200" w:line="276" w:lineRule="auto"/>
        <w:jc w:val="both"/>
        <w:rPr>
          <w:rFonts w:ascii="Calibri" w:eastAsia="Calibri" w:hAnsi="Calibri" w:cs="Times New Roman"/>
          <w:sz w:val="22"/>
          <w:szCs w:val="22"/>
        </w:rPr>
      </w:pPr>
      <w:r w:rsidRPr="0038030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80448" behindDoc="0" locked="0" layoutInCell="1" allowOverlap="1" wp14:anchorId="70949C76" wp14:editId="1043536E">
                <wp:simplePos x="0" y="0"/>
                <wp:positionH relativeFrom="column">
                  <wp:posOffset>3419475</wp:posOffset>
                </wp:positionH>
                <wp:positionV relativeFrom="paragraph">
                  <wp:posOffset>-574675</wp:posOffset>
                </wp:positionV>
                <wp:extent cx="2427605" cy="352425"/>
                <wp:effectExtent l="0" t="0" r="0" b="9525"/>
                <wp:wrapNone/>
                <wp:docPr id="223" name="Text Box 223"/>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380303">
                            <w:pPr>
                              <w:jc w:val="right"/>
                              <w:rPr>
                                <w:b/>
                                <w:color w:val="4F6228" w:themeColor="accent3" w:themeShade="80"/>
                              </w:rPr>
                            </w:pPr>
                            <w:r w:rsidRPr="00483A60">
                              <w:rPr>
                                <w:b/>
                                <w:color w:val="4F6228" w:themeColor="accent3" w:themeShade="80"/>
                              </w:rPr>
                              <w:t>Cleaner, Greener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3" o:spid="_x0000_s1082" type="#_x0000_t202" style="position:absolute;left:0;text-align:left;margin-left:269.25pt;margin-top:-45.25pt;width:191.15pt;height:27.7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" fillcolor="window" stroked="f" strokeweight=".5pt">
                <v:textbox>
                  <w:txbxContent>
                    <w:p w:rsidR="000D3CFF" w:rsidRPr="00483A60" w:rsidRDefault="000D3CFF" w:rsidP="00380303">
                      <w:pPr>
                        <w:jc w:val="right"/>
                        <w:rPr>
                          <w:b/>
                          <w:color w:val="4F6228" w:themeColor="accent3" w:themeShade="80"/>
                        </w:rPr>
                      </w:pPr>
                      <w:r w:rsidRPr="00483A60">
                        <w:rPr>
                          <w:b/>
                          <w:color w:val="4F6228" w:themeColor="accent3" w:themeShade="80"/>
                        </w:rPr>
                        <w:t>Cleaner, Greener Oxford</w:t>
                      </w:r>
                    </w:p>
                  </w:txbxContent>
                </v:textbox>
              </v:shape>
            </w:pict>
          </mc:Fallback>
        </mc:AlternateContent>
      </w:r>
      <w:r w:rsidR="00380303">
        <w:rPr>
          <w:rFonts w:ascii="Calibri" w:eastAsia="Calibri" w:hAnsi="Calibri" w:cs="Times New Roman"/>
          <w:sz w:val="22"/>
          <w:szCs w:val="22"/>
        </w:rPr>
        <w:t xml:space="preserve">A </w:t>
      </w:r>
      <w:r w:rsidR="009E5BB8">
        <w:rPr>
          <w:rFonts w:ascii="Calibri" w:eastAsia="Calibri" w:hAnsi="Calibri" w:cs="Times New Roman"/>
          <w:sz w:val="22"/>
          <w:szCs w:val="22"/>
        </w:rPr>
        <w:t>net increase in the number of Oxford’s parks that have achieved</w:t>
      </w:r>
      <w:r w:rsidR="00380303">
        <w:rPr>
          <w:rFonts w:ascii="Calibri" w:eastAsia="Calibri" w:hAnsi="Calibri" w:cs="Times New Roman"/>
          <w:sz w:val="22"/>
          <w:szCs w:val="22"/>
        </w:rPr>
        <w:t xml:space="preserve"> </w:t>
      </w:r>
      <w:r w:rsidR="009E5BB8">
        <w:rPr>
          <w:rFonts w:ascii="Calibri" w:eastAsia="Calibri" w:hAnsi="Calibri" w:cs="Times New Roman"/>
          <w:sz w:val="22"/>
          <w:szCs w:val="22"/>
        </w:rPr>
        <w:t xml:space="preserve">Green Flag </w:t>
      </w:r>
      <w:r w:rsidR="00380303">
        <w:rPr>
          <w:rFonts w:ascii="Calibri" w:eastAsia="Calibri" w:hAnsi="Calibri" w:cs="Times New Roman"/>
          <w:sz w:val="22"/>
          <w:szCs w:val="22"/>
        </w:rPr>
        <w:t>status</w:t>
      </w:r>
      <w:r w:rsidR="009E5BB8">
        <w:rPr>
          <w:rFonts w:ascii="Calibri" w:eastAsia="Calibri" w:hAnsi="Calibri" w:cs="Times New Roman"/>
          <w:sz w:val="22"/>
          <w:szCs w:val="22"/>
        </w:rPr>
        <w:t>.</w:t>
      </w:r>
    </w:p>
    <w:p w:rsidR="002825EA" w:rsidRDefault="002825EA" w:rsidP="002825EA">
      <w:pPr>
        <w:pStyle w:val="ListParagraph"/>
        <w:spacing w:after="200" w:line="276" w:lineRule="auto"/>
        <w:ind w:left="1080"/>
        <w:jc w:val="both"/>
        <w:rPr>
          <w:rFonts w:ascii="Calibri" w:eastAsia="Calibri" w:hAnsi="Calibri" w:cs="Times New Roman"/>
          <w:sz w:val="22"/>
          <w:szCs w:val="22"/>
        </w:rPr>
      </w:pPr>
    </w:p>
    <w:p w:rsidR="000773F3" w:rsidRPr="00380303" w:rsidRDefault="00E40DF2" w:rsidP="004335B5">
      <w:pPr>
        <w:pStyle w:val="ListParagraph"/>
        <w:numPr>
          <w:ilvl w:val="0"/>
          <w:numId w:val="20"/>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Average weekday traffic flows </w:t>
      </w:r>
      <w:r w:rsidR="00743825">
        <w:rPr>
          <w:rFonts w:ascii="Calibri" w:eastAsia="Calibri" w:hAnsi="Calibri" w:cs="Times New Roman"/>
          <w:sz w:val="22"/>
          <w:szCs w:val="22"/>
        </w:rPr>
        <w:t>at the inner c</w:t>
      </w:r>
      <w:r w:rsidR="00380303">
        <w:rPr>
          <w:rFonts w:ascii="Calibri" w:eastAsia="Calibri" w:hAnsi="Calibri" w:cs="Times New Roman"/>
          <w:sz w:val="22"/>
          <w:szCs w:val="22"/>
        </w:rPr>
        <w:t>ordon have decreased over time when compared to the 2006 Core Strategy baseline. T</w:t>
      </w:r>
      <w:r>
        <w:rPr>
          <w:rFonts w:ascii="Calibri" w:eastAsia="Calibri" w:hAnsi="Calibri" w:cs="Times New Roman"/>
          <w:sz w:val="22"/>
          <w:szCs w:val="22"/>
        </w:rPr>
        <w:t>his means that fewer</w:t>
      </w:r>
      <w:r w:rsidR="00380303">
        <w:rPr>
          <w:rFonts w:ascii="Calibri" w:eastAsia="Calibri" w:hAnsi="Calibri" w:cs="Times New Roman"/>
          <w:sz w:val="22"/>
          <w:szCs w:val="22"/>
        </w:rPr>
        <w:t xml:space="preserve"> vehicles are entering </w:t>
      </w:r>
      <w:r>
        <w:rPr>
          <w:rFonts w:ascii="Calibri" w:eastAsia="Calibri" w:hAnsi="Calibri" w:cs="Times New Roman"/>
          <w:sz w:val="22"/>
          <w:szCs w:val="22"/>
        </w:rPr>
        <w:t>central Oxford. Data for the Outer Cordon shows that traffic flows at many monitoring locations have decreased slightly when compared the previous monitoring year.</w:t>
      </w:r>
    </w:p>
    <w:p w:rsidR="00CC03C9" w:rsidRPr="00CC03C9" w:rsidRDefault="00CC03C9" w:rsidP="00CC03C9">
      <w:pPr>
        <w:pStyle w:val="ListParagraph"/>
        <w:spacing w:after="200" w:line="276" w:lineRule="auto"/>
        <w:ind w:left="1080"/>
        <w:jc w:val="both"/>
        <w:rPr>
          <w:rFonts w:ascii="Calibri" w:eastAsia="Calibri" w:hAnsi="Calibri" w:cs="Times New Roman"/>
          <w:sz w:val="22"/>
          <w:szCs w:val="22"/>
          <w:highlight w:val="yellow"/>
        </w:rPr>
      </w:pPr>
    </w:p>
    <w:p w:rsidR="00A234AB" w:rsidRPr="005452DF" w:rsidRDefault="00E40DF2" w:rsidP="004335B5">
      <w:pPr>
        <w:pStyle w:val="ListParagraph"/>
        <w:numPr>
          <w:ilvl w:val="0"/>
          <w:numId w:val="7"/>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Indictor 28 was the only environmental indicator to score an amber rating. This was due to listed building consent being granted for </w:t>
      </w:r>
      <w:r w:rsidR="005452DF">
        <w:rPr>
          <w:rFonts w:ascii="Calibri" w:eastAsia="Calibri" w:hAnsi="Calibri" w:cs="Times New Roman"/>
          <w:sz w:val="22"/>
          <w:szCs w:val="22"/>
        </w:rPr>
        <w:t>10 applications for the total, substantial or partial d</w:t>
      </w:r>
      <w:r w:rsidR="005452DF" w:rsidRPr="009E5BB8">
        <w:rPr>
          <w:rFonts w:ascii="Calibri" w:eastAsia="Calibri" w:hAnsi="Calibri" w:cs="Times New Roman"/>
          <w:sz w:val="22"/>
          <w:szCs w:val="22"/>
        </w:rPr>
        <w:t xml:space="preserve">emolition of </w:t>
      </w:r>
      <w:r>
        <w:rPr>
          <w:rFonts w:ascii="Calibri" w:eastAsia="Calibri" w:hAnsi="Calibri" w:cs="Times New Roman"/>
          <w:sz w:val="22"/>
          <w:szCs w:val="22"/>
        </w:rPr>
        <w:t>a listed building in 2013/14. However,</w:t>
      </w:r>
      <w:r w:rsidR="005452DF">
        <w:rPr>
          <w:rFonts w:ascii="Calibri" w:eastAsia="Calibri" w:hAnsi="Calibri" w:cs="Times New Roman"/>
          <w:sz w:val="22"/>
          <w:szCs w:val="22"/>
        </w:rPr>
        <w:t xml:space="preserve"> all</w:t>
      </w:r>
      <w:r>
        <w:rPr>
          <w:rFonts w:ascii="Calibri" w:eastAsia="Calibri" w:hAnsi="Calibri" w:cs="Times New Roman"/>
          <w:sz w:val="22"/>
          <w:szCs w:val="22"/>
        </w:rPr>
        <w:t xml:space="preserve"> of the</w:t>
      </w:r>
      <w:r w:rsidR="005452DF">
        <w:rPr>
          <w:rFonts w:ascii="Calibri" w:eastAsia="Calibri" w:hAnsi="Calibri" w:cs="Times New Roman"/>
          <w:sz w:val="22"/>
          <w:szCs w:val="22"/>
        </w:rPr>
        <w:t xml:space="preserve"> applications were considered to accord with the special character of the listed building and</w:t>
      </w:r>
      <w:r>
        <w:rPr>
          <w:rFonts w:ascii="Calibri" w:eastAsia="Calibri" w:hAnsi="Calibri" w:cs="Times New Roman"/>
          <w:sz w:val="22"/>
          <w:szCs w:val="22"/>
        </w:rPr>
        <w:t xml:space="preserve"> considered the views of</w:t>
      </w:r>
      <w:r w:rsidR="005452DF">
        <w:rPr>
          <w:rFonts w:ascii="Calibri" w:eastAsia="Calibri" w:hAnsi="Calibri" w:cs="Times New Roman"/>
          <w:sz w:val="22"/>
          <w:szCs w:val="22"/>
        </w:rPr>
        <w:t xml:space="preserve"> English Heritage</w:t>
      </w:r>
      <w:r>
        <w:rPr>
          <w:rFonts w:ascii="Calibri" w:eastAsia="Calibri" w:hAnsi="Calibri" w:cs="Times New Roman"/>
          <w:sz w:val="22"/>
          <w:szCs w:val="22"/>
        </w:rPr>
        <w:t>.</w:t>
      </w: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380303" w:rsidRDefault="00380303" w:rsidP="00A31762">
      <w:pPr>
        <w:rPr>
          <w:rFonts w:asciiTheme="minorHAnsi" w:hAnsiTheme="minorHAnsi" w:cstheme="minorHAnsi"/>
          <w:b/>
          <w:color w:val="403152" w:themeColor="accent4" w:themeShade="80"/>
          <w:sz w:val="32"/>
          <w:szCs w:val="22"/>
        </w:rPr>
      </w:pPr>
    </w:p>
    <w:p w:rsidR="00BD1421" w:rsidRDefault="00BD1421" w:rsidP="00A31762">
      <w:pPr>
        <w:rPr>
          <w:rFonts w:asciiTheme="minorHAnsi" w:hAnsiTheme="minorHAnsi" w:cstheme="minorHAnsi"/>
          <w:b/>
          <w:color w:val="403152" w:themeColor="accent4" w:themeShade="80"/>
          <w:sz w:val="32"/>
          <w:szCs w:val="22"/>
        </w:rPr>
      </w:pPr>
    </w:p>
    <w:p w:rsidR="00E9105E" w:rsidRPr="00E9105E" w:rsidRDefault="00483A60" w:rsidP="00A31762">
      <w:pPr>
        <w:rPr>
          <w:rFonts w:asciiTheme="minorHAnsi" w:hAnsiTheme="minorHAnsi" w:cstheme="minorHAnsi"/>
          <w:b/>
          <w:color w:val="403152" w:themeColor="accent4" w:themeShade="80"/>
          <w:sz w:val="32"/>
          <w:szCs w:val="22"/>
        </w:rPr>
      </w:pPr>
      <w:r w:rsidRPr="00483A60">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68832" behindDoc="0" locked="0" layoutInCell="1" allowOverlap="1" wp14:anchorId="01E4607B" wp14:editId="31560708">
                <wp:simplePos x="0" y="0"/>
                <wp:positionH relativeFrom="column">
                  <wp:posOffset>3434715</wp:posOffset>
                </wp:positionH>
                <wp:positionV relativeFrom="paragraph">
                  <wp:posOffset>-548368</wp:posOffset>
                </wp:positionV>
                <wp:extent cx="2427605" cy="3524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2427605" cy="352425"/>
                        </a:xfrm>
                        <a:prstGeom prst="rect">
                          <a:avLst/>
                        </a:prstGeom>
                        <a:solidFill>
                          <a:sysClr val="window" lastClr="FFFFFF"/>
                        </a:solidFill>
                        <a:ln w="6350">
                          <a:noFill/>
                        </a:ln>
                        <a:effectLst/>
                      </wps:spPr>
                      <wps:txbx>
                        <w:txbxContent>
                          <w:p w:rsidR="000D3CFF" w:rsidRPr="00483A60" w:rsidRDefault="000D3CFF" w:rsidP="00483A60">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83" type="#_x0000_t202" style="position:absolute;margin-left:270.45pt;margin-top:-43.2pt;width:191.15pt;height:27.7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" fillcolor="window" stroked="f" strokeweight=".5pt">
                <v:textbox>
                  <w:txbxContent>
                    <w:p w:rsidR="000D3CFF" w:rsidRPr="00483A60" w:rsidRDefault="000D3CFF" w:rsidP="00483A60">
                      <w:pPr>
                        <w:jc w:val="right"/>
                        <w:rPr>
                          <w:b/>
                          <w:color w:val="7030A0"/>
                        </w:rPr>
                      </w:pPr>
                      <w:r w:rsidRPr="00483A60">
                        <w:rPr>
                          <w:b/>
                          <w:color w:val="7030A0"/>
                        </w:rPr>
                        <w:t>Efficient, Effective Council</w:t>
                      </w:r>
                    </w:p>
                  </w:txbxContent>
                </v:textbox>
              </v:shape>
            </w:pict>
          </mc:Fallback>
        </mc:AlternateContent>
      </w:r>
      <w:r w:rsidR="000773F3" w:rsidRPr="000773F3">
        <w:rPr>
          <w:rFonts w:asciiTheme="minorHAnsi" w:hAnsiTheme="minorHAnsi" w:cstheme="minorHAnsi"/>
          <w:b/>
          <w:color w:val="403152" w:themeColor="accent4" w:themeShade="80"/>
          <w:sz w:val="32"/>
          <w:szCs w:val="22"/>
        </w:rPr>
        <w:t>Efficient, Effective Council</w:t>
      </w:r>
    </w:p>
    <w:p w:rsidR="00E9105E" w:rsidRPr="000773F3" w:rsidRDefault="00E9105E" w:rsidP="00A31762">
      <w:pPr>
        <w:rPr>
          <w:rFonts w:asciiTheme="minorHAnsi" w:hAnsiTheme="minorHAnsi" w:cstheme="minorHAnsi"/>
          <w:b/>
          <w:color w:val="403152" w:themeColor="accent4" w:themeShade="80"/>
          <w:sz w:val="28"/>
          <w:szCs w:val="22"/>
        </w:rPr>
      </w:pPr>
    </w:p>
    <w:p w:rsidR="000773F3" w:rsidRPr="000773F3" w:rsidRDefault="000773F3" w:rsidP="000773F3">
      <w:pPr>
        <w:shd w:val="clear" w:color="auto" w:fill="E5DFEC" w:themeFill="accent4" w:themeFillTint="33"/>
        <w:rPr>
          <w:rFonts w:asciiTheme="minorHAnsi" w:hAnsiTheme="minorHAnsi" w:cstheme="minorHAnsi"/>
          <w:b/>
          <w:color w:val="403152" w:themeColor="accent4" w:themeShade="80"/>
          <w:sz w:val="28"/>
          <w:szCs w:val="22"/>
        </w:rPr>
      </w:pPr>
      <w:r w:rsidRPr="000773F3">
        <w:rPr>
          <w:rFonts w:asciiTheme="minorHAnsi" w:hAnsiTheme="minorHAnsi" w:cstheme="minorHAnsi"/>
          <w:b/>
          <w:color w:val="403152" w:themeColor="accent4" w:themeShade="80"/>
          <w:sz w:val="28"/>
          <w:szCs w:val="22"/>
        </w:rPr>
        <w:t>Duty to Co-operate</w:t>
      </w:r>
    </w:p>
    <w:p w:rsidR="00E9105E" w:rsidRDefault="00E9105E" w:rsidP="00A31762">
      <w:pPr>
        <w:rPr>
          <w:rFonts w:asciiTheme="minorHAnsi" w:hAnsiTheme="minorHAnsi" w:cstheme="minorHAnsi"/>
          <w:b/>
          <w:color w:val="403152" w:themeColor="accent4" w:themeShade="80"/>
          <w:sz w:val="28"/>
          <w:szCs w:val="22"/>
        </w:rPr>
      </w:pPr>
    </w:p>
    <w:p w:rsidR="00A27917" w:rsidRPr="00A27917" w:rsidRDefault="00032827" w:rsidP="004335B5">
      <w:pPr>
        <w:pStyle w:val="Header"/>
        <w:numPr>
          <w:ilvl w:val="1"/>
          <w:numId w:val="17"/>
        </w:numPr>
        <w:tabs>
          <w:tab w:val="clear" w:pos="4513"/>
          <w:tab w:val="clear" w:pos="9026"/>
        </w:tabs>
        <w:jc w:val="both"/>
        <w:rPr>
          <w:rFonts w:ascii="Calibri" w:hAnsi="Calibri"/>
          <w:sz w:val="22"/>
          <w:szCs w:val="22"/>
        </w:rPr>
      </w:pPr>
      <w:r w:rsidRPr="00032827">
        <w:rPr>
          <w:rFonts w:asciiTheme="minorHAnsi" w:hAnsiTheme="minorHAnsi" w:cstheme="minorHAnsi"/>
          <w:sz w:val="22"/>
          <w:szCs w:val="22"/>
        </w:rPr>
        <w:t xml:space="preserve">The Localism Act 2011 introduced the Duty to Co-operate in relation to </w:t>
      </w:r>
      <w:r w:rsidR="00DA4ABA">
        <w:rPr>
          <w:rFonts w:asciiTheme="minorHAnsi" w:hAnsiTheme="minorHAnsi" w:cstheme="minorHAnsi"/>
          <w:sz w:val="22"/>
          <w:szCs w:val="22"/>
        </w:rPr>
        <w:t xml:space="preserve">planning </w:t>
      </w:r>
      <w:r w:rsidRPr="00032827">
        <w:rPr>
          <w:rFonts w:asciiTheme="minorHAnsi" w:hAnsiTheme="minorHAnsi" w:cstheme="minorHAnsi"/>
          <w:sz w:val="22"/>
          <w:szCs w:val="22"/>
        </w:rPr>
        <w:t>sustainable development.  This duty requires local planning authorities to co-operate with other local planning authorities, county council</w:t>
      </w:r>
      <w:r w:rsidR="00247001">
        <w:rPr>
          <w:rFonts w:asciiTheme="minorHAnsi" w:hAnsiTheme="minorHAnsi" w:cstheme="minorHAnsi"/>
          <w:sz w:val="22"/>
          <w:szCs w:val="22"/>
        </w:rPr>
        <w:t xml:space="preserve">s and other prescribed bodies, </w:t>
      </w:r>
      <w:r w:rsidRPr="00032827">
        <w:rPr>
          <w:rFonts w:asciiTheme="minorHAnsi" w:hAnsiTheme="minorHAnsi" w:cstheme="minorHAnsi"/>
          <w:sz w:val="22"/>
          <w:szCs w:val="22"/>
        </w:rPr>
        <w:t>as defined by the Town and Country Planning (Local Planning (England) Regulations 2012)</w:t>
      </w:r>
      <w:r w:rsidR="00A27917">
        <w:rPr>
          <w:rFonts w:asciiTheme="minorHAnsi" w:hAnsiTheme="minorHAnsi" w:cstheme="minorHAnsi"/>
          <w:sz w:val="22"/>
          <w:szCs w:val="22"/>
        </w:rPr>
        <w:t xml:space="preserve"> (as amended)</w:t>
      </w:r>
      <w:r w:rsidRPr="00032827">
        <w:rPr>
          <w:rFonts w:asciiTheme="minorHAnsi" w:hAnsiTheme="minorHAnsi" w:cstheme="minorHAnsi"/>
          <w:sz w:val="22"/>
          <w:szCs w:val="22"/>
        </w:rPr>
        <w:t>, in maximising the effectiveness of the preparation of development plan documents.  This requirement came into force on 15 November 2011.</w:t>
      </w:r>
    </w:p>
    <w:p w:rsidR="00A27917" w:rsidRPr="00A27917" w:rsidRDefault="00A27917" w:rsidP="00A27917">
      <w:pPr>
        <w:pStyle w:val="Header"/>
        <w:tabs>
          <w:tab w:val="clear" w:pos="4513"/>
          <w:tab w:val="clear" w:pos="9026"/>
        </w:tabs>
        <w:ind w:left="360"/>
        <w:jc w:val="both"/>
        <w:rPr>
          <w:rFonts w:ascii="Calibri" w:hAnsi="Calibri"/>
          <w:sz w:val="22"/>
          <w:szCs w:val="22"/>
        </w:rPr>
      </w:pPr>
    </w:p>
    <w:p w:rsidR="00A27917" w:rsidRPr="00A27917" w:rsidRDefault="00A27917" w:rsidP="00A27917">
      <w:pPr>
        <w:pStyle w:val="Header"/>
        <w:numPr>
          <w:ilvl w:val="1"/>
          <w:numId w:val="17"/>
        </w:numPr>
        <w:jc w:val="both"/>
        <w:rPr>
          <w:rFonts w:asciiTheme="minorHAnsi" w:hAnsiTheme="minorHAnsi" w:cstheme="minorHAnsi"/>
          <w:sz w:val="22"/>
          <w:szCs w:val="22"/>
        </w:rPr>
      </w:pPr>
      <w:r w:rsidRPr="00A27917">
        <w:rPr>
          <w:rFonts w:asciiTheme="minorHAnsi" w:hAnsiTheme="minorHAnsi" w:cstheme="minorHAnsi"/>
          <w:sz w:val="22"/>
          <w:szCs w:val="22"/>
        </w:rPr>
        <w:t>The Duty requires those bodies to:</w:t>
      </w:r>
    </w:p>
    <w:p w:rsidR="00A27917" w:rsidRPr="00A27917" w:rsidRDefault="00A27917" w:rsidP="00A27917">
      <w:pPr>
        <w:pStyle w:val="Header"/>
        <w:numPr>
          <w:ilvl w:val="0"/>
          <w:numId w:val="31"/>
        </w:numPr>
        <w:jc w:val="both"/>
        <w:rPr>
          <w:rFonts w:asciiTheme="minorHAnsi" w:hAnsiTheme="minorHAnsi" w:cstheme="minorHAnsi"/>
          <w:sz w:val="22"/>
          <w:szCs w:val="22"/>
        </w:rPr>
      </w:pPr>
      <w:r w:rsidRPr="00A27917">
        <w:rPr>
          <w:rFonts w:asciiTheme="minorHAnsi" w:hAnsiTheme="minorHAnsi" w:cstheme="minorHAnsi"/>
          <w:sz w:val="22"/>
          <w:szCs w:val="22"/>
        </w:rPr>
        <w:t>engage constructively, actively and on an on-going basis with other Duty to Co-operate bodies on the preparation of plans and supporting activities;</w:t>
      </w:r>
    </w:p>
    <w:p w:rsidR="00A27917" w:rsidRPr="00A27917" w:rsidRDefault="00A27917" w:rsidP="00A27917">
      <w:pPr>
        <w:pStyle w:val="Header"/>
        <w:numPr>
          <w:ilvl w:val="0"/>
          <w:numId w:val="31"/>
        </w:numPr>
        <w:jc w:val="both"/>
        <w:rPr>
          <w:rFonts w:asciiTheme="minorHAnsi" w:hAnsiTheme="minorHAnsi" w:cstheme="minorHAnsi"/>
          <w:sz w:val="22"/>
          <w:szCs w:val="22"/>
        </w:rPr>
      </w:pPr>
      <w:r w:rsidRPr="00A27917">
        <w:rPr>
          <w:rFonts w:asciiTheme="minorHAnsi" w:hAnsiTheme="minorHAnsi" w:cstheme="minorHAnsi"/>
          <w:sz w:val="22"/>
          <w:szCs w:val="22"/>
        </w:rPr>
        <w:t>have regard to activities of other Duty to Co-operate bodies; and:</w:t>
      </w:r>
    </w:p>
    <w:p w:rsidR="00A27917" w:rsidRDefault="00A27917" w:rsidP="00A27917">
      <w:pPr>
        <w:pStyle w:val="Header"/>
        <w:numPr>
          <w:ilvl w:val="0"/>
          <w:numId w:val="31"/>
        </w:numPr>
        <w:jc w:val="both"/>
        <w:rPr>
          <w:rFonts w:asciiTheme="minorHAnsi" w:hAnsiTheme="minorHAnsi" w:cstheme="minorHAnsi"/>
          <w:sz w:val="22"/>
          <w:szCs w:val="22"/>
        </w:rPr>
      </w:pPr>
      <w:proofErr w:type="gramStart"/>
      <w:r w:rsidRPr="00A27917">
        <w:rPr>
          <w:rFonts w:asciiTheme="minorHAnsi" w:hAnsiTheme="minorHAnsi" w:cstheme="minorHAnsi"/>
          <w:sz w:val="22"/>
          <w:szCs w:val="22"/>
        </w:rPr>
        <w:t>consider</w:t>
      </w:r>
      <w:proofErr w:type="gramEnd"/>
      <w:r w:rsidRPr="00A27917">
        <w:rPr>
          <w:rFonts w:asciiTheme="minorHAnsi" w:hAnsiTheme="minorHAnsi" w:cstheme="minorHAnsi"/>
          <w:sz w:val="22"/>
          <w:szCs w:val="22"/>
        </w:rPr>
        <w:t xml:space="preserve"> joint approaches to plan making.</w:t>
      </w:r>
    </w:p>
    <w:p w:rsidR="00A27917" w:rsidRPr="00A27917" w:rsidRDefault="00A27917" w:rsidP="00A27917">
      <w:pPr>
        <w:pStyle w:val="Header"/>
        <w:ind w:left="720"/>
        <w:jc w:val="both"/>
        <w:rPr>
          <w:rFonts w:asciiTheme="minorHAnsi" w:hAnsiTheme="minorHAnsi" w:cstheme="minorHAnsi"/>
          <w:sz w:val="22"/>
          <w:szCs w:val="22"/>
        </w:rPr>
      </w:pPr>
    </w:p>
    <w:p w:rsidR="00A27917" w:rsidRPr="00A27917" w:rsidRDefault="00032827" w:rsidP="00A27917">
      <w:pPr>
        <w:pStyle w:val="Header"/>
        <w:numPr>
          <w:ilvl w:val="1"/>
          <w:numId w:val="17"/>
        </w:numPr>
        <w:jc w:val="both"/>
        <w:rPr>
          <w:rFonts w:asciiTheme="minorHAnsi" w:hAnsiTheme="minorHAnsi" w:cstheme="minorHAnsi"/>
          <w:sz w:val="22"/>
          <w:szCs w:val="22"/>
        </w:rPr>
      </w:pPr>
      <w:r w:rsidRPr="00032827">
        <w:rPr>
          <w:rFonts w:asciiTheme="minorHAnsi" w:hAnsiTheme="minorHAnsi" w:cstheme="minorHAnsi"/>
          <w:sz w:val="22"/>
          <w:szCs w:val="22"/>
        </w:rPr>
        <w:t xml:space="preserve">  </w:t>
      </w:r>
      <w:r w:rsidR="00A27917" w:rsidRPr="00A27917">
        <w:rPr>
          <w:rFonts w:asciiTheme="minorHAnsi" w:hAnsiTheme="minorHAnsi" w:cstheme="minorHAnsi"/>
          <w:sz w:val="22"/>
          <w:szCs w:val="22"/>
        </w:rPr>
        <w:t>The Duty relates to the following matters:</w:t>
      </w:r>
    </w:p>
    <w:p w:rsidR="00A27917" w:rsidRPr="00A27917" w:rsidRDefault="00A27917" w:rsidP="00A27917">
      <w:pPr>
        <w:pStyle w:val="Header"/>
        <w:numPr>
          <w:ilvl w:val="0"/>
          <w:numId w:val="32"/>
        </w:numPr>
        <w:jc w:val="both"/>
        <w:rPr>
          <w:rFonts w:asciiTheme="minorHAnsi" w:hAnsiTheme="minorHAnsi" w:cstheme="minorHAnsi"/>
          <w:sz w:val="22"/>
          <w:szCs w:val="22"/>
        </w:rPr>
      </w:pPr>
      <w:r w:rsidRPr="00A27917">
        <w:rPr>
          <w:rFonts w:asciiTheme="minorHAnsi" w:hAnsiTheme="minorHAnsi" w:cstheme="minorHAnsi"/>
          <w:sz w:val="22"/>
          <w:szCs w:val="22"/>
        </w:rPr>
        <w:t xml:space="preserve">sustainable development or use of land that would have a significant impact on at least two planning areas; </w:t>
      </w:r>
    </w:p>
    <w:p w:rsidR="00A27917" w:rsidRPr="00A27917" w:rsidRDefault="00A27917" w:rsidP="00A27917">
      <w:pPr>
        <w:pStyle w:val="Header"/>
        <w:numPr>
          <w:ilvl w:val="0"/>
          <w:numId w:val="32"/>
        </w:numPr>
        <w:jc w:val="both"/>
        <w:rPr>
          <w:rFonts w:asciiTheme="minorHAnsi" w:hAnsiTheme="minorHAnsi" w:cstheme="minorHAnsi"/>
          <w:sz w:val="22"/>
          <w:szCs w:val="22"/>
        </w:rPr>
      </w:pPr>
      <w:r w:rsidRPr="00A27917">
        <w:rPr>
          <w:rFonts w:asciiTheme="minorHAnsi" w:hAnsiTheme="minorHAnsi" w:cstheme="minorHAnsi"/>
          <w:sz w:val="22"/>
          <w:szCs w:val="22"/>
        </w:rPr>
        <w:t xml:space="preserve">sustainable development or use of land for, or in connection with, infrastructure that is strategic and would have a significant impact on at least two planning areas; and: </w:t>
      </w:r>
    </w:p>
    <w:p w:rsidR="00A27917" w:rsidRDefault="00A27917" w:rsidP="00A27917">
      <w:pPr>
        <w:pStyle w:val="Header"/>
        <w:numPr>
          <w:ilvl w:val="0"/>
          <w:numId w:val="32"/>
        </w:numPr>
        <w:jc w:val="both"/>
        <w:rPr>
          <w:rFonts w:asciiTheme="minorHAnsi" w:hAnsiTheme="minorHAnsi" w:cstheme="minorHAnsi"/>
          <w:sz w:val="22"/>
          <w:szCs w:val="22"/>
        </w:rPr>
      </w:pPr>
      <w:proofErr w:type="gramStart"/>
      <w:r w:rsidRPr="00A27917">
        <w:rPr>
          <w:rFonts w:asciiTheme="minorHAnsi" w:hAnsiTheme="minorHAnsi" w:cstheme="minorHAnsi"/>
          <w:sz w:val="22"/>
          <w:szCs w:val="22"/>
        </w:rPr>
        <w:t>a</w:t>
      </w:r>
      <w:proofErr w:type="gramEnd"/>
      <w:r w:rsidRPr="00A27917">
        <w:rPr>
          <w:rFonts w:asciiTheme="minorHAnsi" w:hAnsiTheme="minorHAnsi" w:cstheme="minorHAnsi"/>
          <w:sz w:val="22"/>
          <w:szCs w:val="22"/>
        </w:rPr>
        <w:t xml:space="preserve"> planning matter that falls within the remit of a county council or would have a significant impact on a county matter.</w:t>
      </w:r>
    </w:p>
    <w:p w:rsidR="00A27917" w:rsidRPr="00A27917" w:rsidRDefault="00A27917" w:rsidP="00A27917">
      <w:pPr>
        <w:pStyle w:val="Header"/>
        <w:ind w:left="720"/>
        <w:jc w:val="both"/>
        <w:rPr>
          <w:rFonts w:asciiTheme="minorHAnsi" w:hAnsiTheme="minorHAnsi" w:cstheme="minorHAnsi"/>
          <w:sz w:val="22"/>
          <w:szCs w:val="22"/>
        </w:rPr>
      </w:pPr>
    </w:p>
    <w:p w:rsidR="00081201" w:rsidRPr="00081201" w:rsidRDefault="00A27917" w:rsidP="00081201">
      <w:pPr>
        <w:pStyle w:val="Header"/>
        <w:numPr>
          <w:ilvl w:val="1"/>
          <w:numId w:val="17"/>
        </w:numPr>
        <w:tabs>
          <w:tab w:val="clear" w:pos="360"/>
          <w:tab w:val="clear" w:pos="4513"/>
          <w:tab w:val="clear" w:pos="9026"/>
          <w:tab w:val="num" w:pos="426"/>
        </w:tabs>
        <w:jc w:val="both"/>
        <w:rPr>
          <w:rFonts w:ascii="Calibri" w:hAnsi="Calibri"/>
          <w:sz w:val="22"/>
          <w:szCs w:val="22"/>
        </w:rPr>
      </w:pPr>
      <w:r>
        <w:rPr>
          <w:rFonts w:asciiTheme="minorHAnsi" w:hAnsiTheme="minorHAnsi" w:cstheme="minorHAnsi"/>
          <w:sz w:val="22"/>
          <w:szCs w:val="22"/>
        </w:rPr>
        <w:t xml:space="preserve">The only development plan document that the </w:t>
      </w:r>
      <w:r w:rsidRPr="00A27917">
        <w:rPr>
          <w:rFonts w:asciiTheme="minorHAnsi" w:hAnsiTheme="minorHAnsi" w:cstheme="minorHAnsi"/>
          <w:sz w:val="22"/>
          <w:szCs w:val="22"/>
        </w:rPr>
        <w:t xml:space="preserve">City Council </w:t>
      </w:r>
      <w:r>
        <w:rPr>
          <w:rFonts w:asciiTheme="minorHAnsi" w:hAnsiTheme="minorHAnsi" w:cstheme="minorHAnsi"/>
          <w:sz w:val="22"/>
          <w:szCs w:val="22"/>
        </w:rPr>
        <w:t>prepared during 2013/14 was the Northern Gateway Area Action Plan</w:t>
      </w:r>
      <w:r w:rsidR="00081201">
        <w:rPr>
          <w:rFonts w:asciiTheme="minorHAnsi" w:hAnsiTheme="minorHAnsi" w:cstheme="minorHAnsi"/>
          <w:sz w:val="22"/>
          <w:szCs w:val="22"/>
        </w:rPr>
        <w:t xml:space="preserve"> (AAP)</w:t>
      </w:r>
      <w:r>
        <w:rPr>
          <w:rFonts w:asciiTheme="minorHAnsi" w:hAnsiTheme="minorHAnsi" w:cstheme="minorHAnsi"/>
          <w:sz w:val="22"/>
          <w:szCs w:val="22"/>
        </w:rPr>
        <w:t xml:space="preserve">, which had reached the options stage by the end of the monitoring year.  </w:t>
      </w:r>
      <w:r w:rsidR="00B10E8D">
        <w:rPr>
          <w:rFonts w:asciiTheme="minorHAnsi" w:hAnsiTheme="minorHAnsi" w:cstheme="minorHAnsi"/>
          <w:sz w:val="22"/>
          <w:szCs w:val="22"/>
        </w:rPr>
        <w:t xml:space="preserve">Consultation took place with the prescribed statutory bodies and with the other Oxfordshire councils on the Sustainability Appraisal Scoping Report in November 2013, followed by consultation with all the Duty to Cooperate bodies on the options document in February 2014.  A stakeholder workshop was held on the 24 March 2014, to which many of the Duty to Cooperate bodies were invited.  A large number of one-to-one meetings have also been held with a range of stakeholders throughout the plan preparation process, including with various Duty to Cooperate bodies and in particular with Oxfordshire County Council. Full details of how the City Council </w:t>
      </w:r>
      <w:r w:rsidR="00081201">
        <w:rPr>
          <w:rFonts w:asciiTheme="minorHAnsi" w:hAnsiTheme="minorHAnsi" w:cstheme="minorHAnsi"/>
          <w:sz w:val="22"/>
          <w:szCs w:val="22"/>
        </w:rPr>
        <w:t xml:space="preserve">has complied with the </w:t>
      </w:r>
      <w:r w:rsidRPr="00A27917">
        <w:rPr>
          <w:rFonts w:asciiTheme="minorHAnsi" w:hAnsiTheme="minorHAnsi" w:cstheme="minorHAnsi"/>
          <w:sz w:val="22"/>
          <w:szCs w:val="22"/>
        </w:rPr>
        <w:t xml:space="preserve">Duty to Cooperate </w:t>
      </w:r>
      <w:r w:rsidR="00081201">
        <w:rPr>
          <w:rFonts w:asciiTheme="minorHAnsi" w:hAnsiTheme="minorHAnsi" w:cstheme="minorHAnsi"/>
          <w:sz w:val="22"/>
          <w:szCs w:val="22"/>
        </w:rPr>
        <w:t>in respect of the Northern Gateway AAP will be set out in a statement that will be published alongside the submission version of the Plan in October 2014.</w:t>
      </w:r>
    </w:p>
    <w:p w:rsidR="00081201" w:rsidRPr="00081201" w:rsidRDefault="00081201" w:rsidP="00081201">
      <w:pPr>
        <w:pStyle w:val="Header"/>
        <w:tabs>
          <w:tab w:val="clear" w:pos="4513"/>
          <w:tab w:val="clear" w:pos="9026"/>
        </w:tabs>
        <w:ind w:left="360"/>
        <w:jc w:val="both"/>
        <w:rPr>
          <w:rFonts w:ascii="Calibri" w:hAnsi="Calibri"/>
          <w:sz w:val="22"/>
          <w:szCs w:val="22"/>
        </w:rPr>
      </w:pPr>
    </w:p>
    <w:p w:rsidR="00E63AD1" w:rsidRPr="00081201" w:rsidRDefault="00081201" w:rsidP="00081201">
      <w:pPr>
        <w:pStyle w:val="Header"/>
        <w:numPr>
          <w:ilvl w:val="1"/>
          <w:numId w:val="17"/>
        </w:numPr>
        <w:jc w:val="both"/>
        <w:rPr>
          <w:rFonts w:ascii="Calibri" w:hAnsi="Calibri"/>
          <w:sz w:val="22"/>
          <w:szCs w:val="22"/>
        </w:rPr>
      </w:pPr>
      <w:r w:rsidRPr="00081201">
        <w:rPr>
          <w:rFonts w:ascii="Calibri" w:hAnsi="Calibri"/>
          <w:sz w:val="22"/>
          <w:szCs w:val="22"/>
        </w:rPr>
        <w:t>More generally, the City Council has been actively involved in a number of cross boundary and joint partnership relationships which have informed the preparation of the various elements of the Oxford Local Plan.</w:t>
      </w:r>
      <w:r>
        <w:rPr>
          <w:rFonts w:ascii="Calibri" w:hAnsi="Calibri"/>
          <w:sz w:val="22"/>
          <w:szCs w:val="22"/>
        </w:rPr>
        <w:t xml:space="preserve">  This includes the Oxfordshire Spatial Planning and Infrastructure Partnership (SPIP); the Oxfordshire Local Enterprise Partnership (LEP); the Oxford Strategic Partnership (OSP); the Oxfordshire Skills Board; the Health and Wellbeing Board; the Oxfordshire Local Transport Board; the Oxfordshire Leaders Group; the Oxfordshire Chief Executives Group; City and County Bilateral meetings; the Oxfordshire Area Flood Partnership; the Oxford Green and Blue Spaces Network;</w:t>
      </w:r>
      <w:r w:rsidR="003E3B39">
        <w:rPr>
          <w:rFonts w:ascii="Calibri" w:hAnsi="Calibri"/>
          <w:sz w:val="22"/>
          <w:szCs w:val="22"/>
        </w:rPr>
        <w:t xml:space="preserve"> the Oxford Regeneration Programme Partnership and the Oxfordshire Planning Policy Officers Group.  These meetings are attended either by lead Members and/or by a range of senior officers.</w:t>
      </w:r>
    </w:p>
    <w:p w:rsidR="00E63AD1" w:rsidRDefault="00E63AD1" w:rsidP="00E63AD1">
      <w:pPr>
        <w:pStyle w:val="ListParagraph"/>
        <w:rPr>
          <w:rFonts w:ascii="Calibri" w:hAnsi="Calibri"/>
          <w:sz w:val="22"/>
          <w:szCs w:val="22"/>
        </w:rPr>
      </w:pPr>
    </w:p>
    <w:p w:rsidR="00623FE3" w:rsidRDefault="00E92A7D" w:rsidP="00F85B66">
      <w:pPr>
        <w:pStyle w:val="Header"/>
        <w:numPr>
          <w:ilvl w:val="1"/>
          <w:numId w:val="17"/>
        </w:numPr>
        <w:tabs>
          <w:tab w:val="clear" w:pos="4513"/>
          <w:tab w:val="clear" w:pos="9026"/>
        </w:tabs>
        <w:jc w:val="both"/>
        <w:rPr>
          <w:rFonts w:ascii="Calibri" w:hAnsi="Calibri"/>
          <w:sz w:val="22"/>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657214" behindDoc="0" locked="0" layoutInCell="1" allowOverlap="1" wp14:anchorId="4C588829" wp14:editId="7B6C7DF5">
                <wp:simplePos x="0" y="0"/>
                <wp:positionH relativeFrom="column">
                  <wp:posOffset>3705225</wp:posOffset>
                </wp:positionH>
                <wp:positionV relativeFrom="paragraph">
                  <wp:posOffset>-567055</wp:posOffset>
                </wp:positionV>
                <wp:extent cx="2122805" cy="352425"/>
                <wp:effectExtent l="0" t="0" r="0" b="9525"/>
                <wp:wrapNone/>
                <wp:docPr id="96" name="Text Box 96"/>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 o:spid="_x0000_s1084" type="#_x0000_t202" style="position:absolute;left:0;text-align:left;margin-left:291.75pt;margin-top:-44.65pt;width:167.15pt;height:27.7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623FE3" w:rsidRPr="00A14424">
        <w:rPr>
          <w:rFonts w:ascii="Calibri" w:hAnsi="Calibri"/>
          <w:sz w:val="22"/>
          <w:szCs w:val="22"/>
        </w:rPr>
        <w:t xml:space="preserve"> </w:t>
      </w:r>
      <w:r w:rsidR="00F85B66">
        <w:rPr>
          <w:rFonts w:ascii="Calibri" w:hAnsi="Calibri"/>
          <w:sz w:val="22"/>
          <w:szCs w:val="22"/>
        </w:rPr>
        <w:t xml:space="preserve">During 2013/14, a particularly relevant exercise in relation to the Duty to Cooperate was the preparation of a new Strategic Housing Market Assessment (SHMA) for the county.  This study identified the need for housing both across the county, and by individual district, up to 2031 and will form a key part of the evidence base for emerging Local Plans in the other districts. </w:t>
      </w:r>
      <w:r w:rsidR="00F85B66" w:rsidRPr="00F85B66">
        <w:rPr>
          <w:rFonts w:ascii="Calibri" w:hAnsi="Calibri"/>
          <w:sz w:val="22"/>
          <w:szCs w:val="22"/>
        </w:rPr>
        <w:t xml:space="preserve">The </w:t>
      </w:r>
      <w:r w:rsidR="00F85B66">
        <w:rPr>
          <w:rFonts w:ascii="Calibri" w:hAnsi="Calibri"/>
          <w:sz w:val="22"/>
          <w:szCs w:val="22"/>
        </w:rPr>
        <w:t xml:space="preserve">SHMA was jointly commissioned by all of the Oxfordshire authorities and an officer working </w:t>
      </w:r>
      <w:r w:rsidR="00F85B66" w:rsidRPr="00F85B66">
        <w:rPr>
          <w:rFonts w:ascii="Calibri" w:hAnsi="Calibri"/>
          <w:sz w:val="22"/>
          <w:szCs w:val="22"/>
        </w:rPr>
        <w:t>group</w:t>
      </w:r>
      <w:r w:rsidR="00F85B66">
        <w:rPr>
          <w:rFonts w:ascii="Calibri" w:hAnsi="Calibri"/>
          <w:sz w:val="22"/>
          <w:szCs w:val="22"/>
        </w:rPr>
        <w:t xml:space="preserve">, including an officer from the City Council, </w:t>
      </w:r>
      <w:r w:rsidR="00F85B66" w:rsidRPr="00F85B66">
        <w:rPr>
          <w:rFonts w:ascii="Calibri" w:hAnsi="Calibri"/>
          <w:sz w:val="22"/>
          <w:szCs w:val="22"/>
        </w:rPr>
        <w:t>manage</w:t>
      </w:r>
      <w:r w:rsidR="00F85B66">
        <w:rPr>
          <w:rFonts w:ascii="Calibri" w:hAnsi="Calibri"/>
          <w:sz w:val="22"/>
          <w:szCs w:val="22"/>
        </w:rPr>
        <w:t>d</w:t>
      </w:r>
      <w:r w:rsidR="00F85B66" w:rsidRPr="00F85B66">
        <w:rPr>
          <w:rFonts w:ascii="Calibri" w:hAnsi="Calibri"/>
          <w:sz w:val="22"/>
          <w:szCs w:val="22"/>
        </w:rPr>
        <w:t xml:space="preserve"> the consultants </w:t>
      </w:r>
      <w:r w:rsidR="00F85B66">
        <w:rPr>
          <w:rFonts w:ascii="Calibri" w:hAnsi="Calibri"/>
          <w:sz w:val="22"/>
          <w:szCs w:val="22"/>
        </w:rPr>
        <w:t xml:space="preserve">during the project.  The SHMA findings were published in summary form in March 2014, with the full report being published in April 2014.  </w:t>
      </w:r>
      <w:r w:rsidR="00B45DCE">
        <w:rPr>
          <w:rFonts w:ascii="Calibri" w:hAnsi="Calibri"/>
          <w:sz w:val="22"/>
          <w:szCs w:val="22"/>
        </w:rPr>
        <w:t>The City Council has subsequently made strong representations on emerging Local Plans in the county with the aim of ensuring that they allocate sufficient land to accommodate the full Objectively Assessed Need for the whole county, including housing need that cannot be met in Oxford because of intrinsic environmental constraints and the city’s tightly drawn administrative boundaries.</w:t>
      </w:r>
    </w:p>
    <w:p w:rsidR="00E01873" w:rsidRPr="000773F3" w:rsidRDefault="00E01873" w:rsidP="00A31762">
      <w:pPr>
        <w:rPr>
          <w:rFonts w:asciiTheme="minorHAnsi" w:hAnsiTheme="minorHAnsi" w:cstheme="minorHAnsi"/>
          <w:b/>
          <w:color w:val="403152" w:themeColor="accent4" w:themeShade="80"/>
          <w:sz w:val="28"/>
          <w:szCs w:val="22"/>
        </w:rPr>
      </w:pPr>
    </w:p>
    <w:p w:rsidR="000773F3" w:rsidRDefault="000773F3" w:rsidP="000773F3">
      <w:pPr>
        <w:shd w:val="clear" w:color="auto" w:fill="E5DFEC" w:themeFill="accent4" w:themeFillTint="33"/>
        <w:rPr>
          <w:rFonts w:asciiTheme="minorHAnsi" w:hAnsiTheme="minorHAnsi" w:cstheme="minorHAnsi"/>
          <w:b/>
          <w:color w:val="403152" w:themeColor="accent4" w:themeShade="80"/>
          <w:sz w:val="28"/>
          <w:szCs w:val="22"/>
        </w:rPr>
      </w:pPr>
      <w:r w:rsidRPr="000773F3">
        <w:rPr>
          <w:rFonts w:asciiTheme="minorHAnsi" w:hAnsiTheme="minorHAnsi" w:cstheme="minorHAnsi"/>
          <w:b/>
          <w:color w:val="403152" w:themeColor="accent4" w:themeShade="80"/>
          <w:sz w:val="28"/>
          <w:szCs w:val="22"/>
        </w:rPr>
        <w:t>L</w:t>
      </w:r>
      <w:r w:rsidR="009F4CD5">
        <w:rPr>
          <w:rFonts w:asciiTheme="minorHAnsi" w:hAnsiTheme="minorHAnsi" w:cstheme="minorHAnsi"/>
          <w:b/>
          <w:color w:val="403152" w:themeColor="accent4" w:themeShade="80"/>
          <w:sz w:val="28"/>
          <w:szCs w:val="22"/>
        </w:rPr>
        <w:t xml:space="preserve">ocal </w:t>
      </w:r>
      <w:r w:rsidRPr="000773F3">
        <w:rPr>
          <w:rFonts w:asciiTheme="minorHAnsi" w:hAnsiTheme="minorHAnsi" w:cstheme="minorHAnsi"/>
          <w:b/>
          <w:color w:val="403152" w:themeColor="accent4" w:themeShade="80"/>
          <w:sz w:val="28"/>
          <w:szCs w:val="22"/>
        </w:rPr>
        <w:t>D</w:t>
      </w:r>
      <w:r w:rsidR="009F4CD5">
        <w:rPr>
          <w:rFonts w:asciiTheme="minorHAnsi" w:hAnsiTheme="minorHAnsi" w:cstheme="minorHAnsi"/>
          <w:b/>
          <w:color w:val="403152" w:themeColor="accent4" w:themeShade="80"/>
          <w:sz w:val="28"/>
          <w:szCs w:val="22"/>
        </w:rPr>
        <w:t xml:space="preserve">evelopment </w:t>
      </w:r>
      <w:r w:rsidR="009F4CD5" w:rsidRPr="000773F3">
        <w:rPr>
          <w:rFonts w:asciiTheme="minorHAnsi" w:hAnsiTheme="minorHAnsi" w:cstheme="minorHAnsi"/>
          <w:b/>
          <w:color w:val="403152" w:themeColor="accent4" w:themeShade="80"/>
          <w:sz w:val="28"/>
          <w:szCs w:val="22"/>
        </w:rPr>
        <w:t>S</w:t>
      </w:r>
      <w:r w:rsidR="009F4CD5">
        <w:rPr>
          <w:rFonts w:asciiTheme="minorHAnsi" w:hAnsiTheme="minorHAnsi" w:cstheme="minorHAnsi"/>
          <w:b/>
          <w:color w:val="403152" w:themeColor="accent4" w:themeShade="80"/>
          <w:sz w:val="28"/>
          <w:szCs w:val="22"/>
        </w:rPr>
        <w:t>cheme</w:t>
      </w:r>
      <w:r w:rsidRPr="000773F3">
        <w:rPr>
          <w:rFonts w:asciiTheme="minorHAnsi" w:hAnsiTheme="minorHAnsi" w:cstheme="minorHAnsi"/>
          <w:b/>
          <w:color w:val="403152" w:themeColor="accent4" w:themeShade="80"/>
          <w:sz w:val="28"/>
          <w:szCs w:val="22"/>
        </w:rPr>
        <w:t xml:space="preserve"> Monitoring</w:t>
      </w:r>
    </w:p>
    <w:p w:rsidR="00E9105E" w:rsidRPr="003A7922" w:rsidRDefault="00E9105E" w:rsidP="00E9105E">
      <w:pPr>
        <w:rPr>
          <w:rFonts w:asciiTheme="minorHAnsi" w:hAnsiTheme="minorHAnsi"/>
          <w:sz w:val="22"/>
          <w:szCs w:val="22"/>
        </w:rPr>
      </w:pPr>
    </w:p>
    <w:p w:rsidR="009F4CD5" w:rsidRPr="00E63AD1" w:rsidRDefault="009F4CD5"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sz w:val="22"/>
          <w:szCs w:val="22"/>
        </w:rPr>
        <w:t xml:space="preserve">The Local Development Scheme (LDS) sets out the work programme and resources required for the preparation of documents to be included in Oxford’s Local Development Plan. The current LDS covers the period 2011-2014. </w:t>
      </w:r>
      <w:r w:rsidR="002935BE" w:rsidRPr="00E63AD1">
        <w:rPr>
          <w:rFonts w:asciiTheme="minorHAnsi" w:hAnsiTheme="minorHAnsi"/>
          <w:sz w:val="22"/>
          <w:szCs w:val="22"/>
        </w:rPr>
        <w:t xml:space="preserve">A  LDS for 2014-2017 is expected to be adopted during the next </w:t>
      </w:r>
      <w:r w:rsidRPr="00E63AD1">
        <w:rPr>
          <w:rFonts w:asciiTheme="minorHAnsi" w:hAnsiTheme="minorHAnsi"/>
          <w:sz w:val="22"/>
          <w:szCs w:val="22"/>
        </w:rPr>
        <w:t xml:space="preserve">monitoring </w:t>
      </w:r>
      <w:r w:rsidR="002935BE" w:rsidRPr="00E63AD1">
        <w:rPr>
          <w:rFonts w:asciiTheme="minorHAnsi" w:hAnsiTheme="minorHAnsi"/>
          <w:sz w:val="22"/>
          <w:szCs w:val="22"/>
        </w:rPr>
        <w:t>year</w:t>
      </w:r>
      <w:r w:rsidRPr="00E63AD1">
        <w:rPr>
          <w:rFonts w:asciiTheme="minorHAnsi" w:hAnsiTheme="minorHAnsi"/>
          <w:sz w:val="22"/>
          <w:szCs w:val="22"/>
        </w:rPr>
        <w:t>.</w:t>
      </w:r>
      <w:r w:rsidR="00E01873" w:rsidRPr="00E63AD1">
        <w:rPr>
          <w:rFonts w:ascii="Calibri" w:eastAsia="Calibri" w:hAnsi="Calibri" w:cs="Calibri"/>
          <w:b/>
          <w:noProof/>
          <w:color w:val="000000"/>
          <w:sz w:val="32"/>
          <w:szCs w:val="32"/>
          <w:lang w:eastAsia="en-GB"/>
        </w:rPr>
        <w:t xml:space="preserve"> </w:t>
      </w:r>
    </w:p>
    <w:p w:rsidR="00E63AD1" w:rsidRPr="00E63AD1" w:rsidRDefault="00E63AD1" w:rsidP="00E63AD1">
      <w:pPr>
        <w:pStyle w:val="Header"/>
        <w:tabs>
          <w:tab w:val="clear" w:pos="4513"/>
          <w:tab w:val="clear" w:pos="9026"/>
        </w:tabs>
        <w:ind w:left="360"/>
        <w:jc w:val="both"/>
        <w:rPr>
          <w:rFonts w:ascii="Calibri" w:hAnsi="Calibri"/>
          <w:sz w:val="22"/>
          <w:szCs w:val="22"/>
        </w:rPr>
      </w:pPr>
    </w:p>
    <w:p w:rsidR="00E9105E" w:rsidRPr="00E63AD1" w:rsidRDefault="008B306D" w:rsidP="004335B5">
      <w:pPr>
        <w:pStyle w:val="Header"/>
        <w:numPr>
          <w:ilvl w:val="1"/>
          <w:numId w:val="17"/>
        </w:numPr>
        <w:tabs>
          <w:tab w:val="clear" w:pos="4513"/>
          <w:tab w:val="clear" w:pos="9026"/>
        </w:tabs>
        <w:jc w:val="both"/>
        <w:rPr>
          <w:rFonts w:ascii="Calibri" w:hAnsi="Calibri"/>
          <w:sz w:val="22"/>
          <w:szCs w:val="22"/>
        </w:rPr>
      </w:pPr>
      <w:r>
        <w:rPr>
          <w:rFonts w:asciiTheme="minorHAnsi" w:hAnsiTheme="minorHAnsi"/>
          <w:sz w:val="22"/>
          <w:szCs w:val="22"/>
        </w:rPr>
        <w:t>Figure 32</w:t>
      </w:r>
      <w:r w:rsidR="00BF255E" w:rsidRPr="00E63AD1">
        <w:rPr>
          <w:rFonts w:asciiTheme="minorHAnsi" w:hAnsiTheme="minorHAnsi"/>
          <w:sz w:val="22"/>
          <w:szCs w:val="22"/>
        </w:rPr>
        <w:t xml:space="preserve"> sets out progress against documents</w:t>
      </w:r>
      <w:r w:rsidR="00842A0A" w:rsidRPr="00E63AD1">
        <w:rPr>
          <w:rFonts w:asciiTheme="minorHAnsi" w:hAnsiTheme="minorHAnsi"/>
          <w:sz w:val="22"/>
          <w:szCs w:val="22"/>
        </w:rPr>
        <w:t xml:space="preserve"> due to be developed </w:t>
      </w:r>
      <w:r w:rsidR="00BC2EA0" w:rsidRPr="00E63AD1">
        <w:rPr>
          <w:rFonts w:asciiTheme="minorHAnsi" w:hAnsiTheme="minorHAnsi"/>
          <w:sz w:val="22"/>
          <w:szCs w:val="22"/>
        </w:rPr>
        <w:t>and/</w:t>
      </w:r>
      <w:r w:rsidR="00842A0A" w:rsidRPr="00E63AD1">
        <w:rPr>
          <w:rFonts w:asciiTheme="minorHAnsi" w:hAnsiTheme="minorHAnsi"/>
          <w:sz w:val="22"/>
          <w:szCs w:val="22"/>
        </w:rPr>
        <w:t xml:space="preserve">or adopted </w:t>
      </w:r>
      <w:r w:rsidR="00E9105E" w:rsidRPr="00E63AD1">
        <w:rPr>
          <w:rFonts w:asciiTheme="minorHAnsi" w:hAnsiTheme="minorHAnsi"/>
          <w:sz w:val="22"/>
        </w:rPr>
        <w:t xml:space="preserve">during </w:t>
      </w:r>
      <w:r w:rsidR="00BF255E" w:rsidRPr="00E63AD1">
        <w:rPr>
          <w:rFonts w:asciiTheme="minorHAnsi" w:hAnsiTheme="minorHAnsi"/>
          <w:sz w:val="22"/>
        </w:rPr>
        <w:t>the 2013/2014 monitoring period</w:t>
      </w:r>
      <w:r w:rsidR="00BF255E" w:rsidRPr="00E63AD1">
        <w:rPr>
          <w:rFonts w:asciiTheme="minorHAnsi" w:hAnsiTheme="minorHAnsi"/>
          <w:b/>
          <w:sz w:val="22"/>
        </w:rPr>
        <w:t>.</w:t>
      </w:r>
    </w:p>
    <w:p w:rsidR="00842A0A" w:rsidRDefault="00842A0A" w:rsidP="00842A0A">
      <w:pPr>
        <w:rPr>
          <w:rFonts w:asciiTheme="minorHAnsi" w:hAnsiTheme="minorHAnsi"/>
          <w:b/>
          <w:color w:val="5F497A" w:themeColor="accent4" w:themeShade="BF"/>
          <w:sz w:val="22"/>
        </w:rPr>
      </w:pP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3085"/>
        <w:gridCol w:w="1559"/>
        <w:gridCol w:w="4598"/>
      </w:tblGrid>
      <w:tr w:rsidR="00BF255E" w:rsidTr="00A57EB2">
        <w:tc>
          <w:tcPr>
            <w:tcW w:w="3085" w:type="dxa"/>
            <w:shd w:val="clear" w:color="auto" w:fill="5F497A" w:themeFill="accent4" w:themeFillShade="BF"/>
          </w:tcPr>
          <w:p w:rsidR="00BF255E" w:rsidRPr="00BC2EA0" w:rsidRDefault="0054018D" w:rsidP="0054018D">
            <w:pPr>
              <w:jc w:val="center"/>
              <w:rPr>
                <w:rFonts w:asciiTheme="minorHAnsi" w:hAnsiTheme="minorHAnsi"/>
                <w:b/>
                <w:color w:val="FFFFFF" w:themeColor="background1"/>
                <w:sz w:val="20"/>
              </w:rPr>
            </w:pPr>
            <w:r>
              <w:rPr>
                <w:rFonts w:asciiTheme="minorHAnsi" w:hAnsiTheme="minorHAnsi"/>
                <w:b/>
                <w:color w:val="FFFFFF" w:themeColor="background1"/>
                <w:sz w:val="20"/>
              </w:rPr>
              <w:t xml:space="preserve">Document </w:t>
            </w:r>
          </w:p>
        </w:tc>
        <w:tc>
          <w:tcPr>
            <w:tcW w:w="1559" w:type="dxa"/>
            <w:shd w:val="clear" w:color="auto" w:fill="5F497A" w:themeFill="accent4" w:themeFillShade="BF"/>
          </w:tcPr>
          <w:p w:rsidR="00BF255E" w:rsidRPr="00BC2EA0" w:rsidRDefault="00BF255E" w:rsidP="00BF255E">
            <w:pPr>
              <w:jc w:val="center"/>
              <w:rPr>
                <w:rFonts w:asciiTheme="minorHAnsi" w:hAnsiTheme="minorHAnsi"/>
                <w:b/>
                <w:color w:val="FFFFFF" w:themeColor="background1"/>
                <w:sz w:val="20"/>
              </w:rPr>
            </w:pPr>
            <w:r w:rsidRPr="00BC2EA0">
              <w:rPr>
                <w:rFonts w:asciiTheme="minorHAnsi" w:hAnsiTheme="minorHAnsi"/>
                <w:b/>
                <w:color w:val="FFFFFF" w:themeColor="background1"/>
                <w:sz w:val="20"/>
              </w:rPr>
              <w:t>Timescale</w:t>
            </w:r>
          </w:p>
        </w:tc>
        <w:tc>
          <w:tcPr>
            <w:tcW w:w="4598" w:type="dxa"/>
            <w:shd w:val="clear" w:color="auto" w:fill="5F497A" w:themeFill="accent4" w:themeFillShade="BF"/>
          </w:tcPr>
          <w:p w:rsidR="00BF255E" w:rsidRPr="00BC2EA0" w:rsidRDefault="00BF255E" w:rsidP="00BF255E">
            <w:pPr>
              <w:jc w:val="center"/>
              <w:rPr>
                <w:rFonts w:asciiTheme="minorHAnsi" w:hAnsiTheme="minorHAnsi"/>
                <w:b/>
                <w:color w:val="FFFFFF" w:themeColor="background1"/>
                <w:sz w:val="20"/>
              </w:rPr>
            </w:pPr>
            <w:r w:rsidRPr="00BC2EA0">
              <w:rPr>
                <w:rFonts w:asciiTheme="minorHAnsi" w:hAnsiTheme="minorHAnsi"/>
                <w:b/>
                <w:color w:val="FFFFFF" w:themeColor="background1"/>
                <w:sz w:val="20"/>
              </w:rPr>
              <w:t xml:space="preserve">Progress </w:t>
            </w:r>
          </w:p>
        </w:tc>
      </w:tr>
      <w:tr w:rsidR="00BF255E" w:rsidTr="00A57EB2">
        <w:tc>
          <w:tcPr>
            <w:tcW w:w="3085" w:type="dxa"/>
          </w:tcPr>
          <w:p w:rsidR="00BF255E" w:rsidRPr="00A57EB2" w:rsidRDefault="00BF255E" w:rsidP="00842A0A">
            <w:pPr>
              <w:rPr>
                <w:rFonts w:asciiTheme="minorHAnsi" w:hAnsiTheme="minorHAnsi"/>
                <w:color w:val="403152" w:themeColor="accent4" w:themeShade="80"/>
                <w:sz w:val="20"/>
              </w:rPr>
            </w:pPr>
            <w:r w:rsidRPr="00A57EB2">
              <w:rPr>
                <w:rFonts w:asciiTheme="minorHAnsi" w:hAnsiTheme="minorHAnsi"/>
                <w:b/>
                <w:color w:val="403152" w:themeColor="accent4" w:themeShade="80"/>
                <w:sz w:val="20"/>
              </w:rPr>
              <w:t>Community Infrastructure Levy (CIL) Charging Schedule</w:t>
            </w:r>
          </w:p>
        </w:tc>
        <w:tc>
          <w:tcPr>
            <w:tcW w:w="1559" w:type="dxa"/>
          </w:tcPr>
          <w:p w:rsidR="00BF255E" w:rsidRPr="00BC2EA0" w:rsidRDefault="00BF255E" w:rsidP="00BF255E">
            <w:pPr>
              <w:jc w:val="center"/>
              <w:rPr>
                <w:rFonts w:asciiTheme="minorHAnsi" w:hAnsiTheme="minorHAnsi"/>
                <w:sz w:val="20"/>
              </w:rPr>
            </w:pPr>
            <w:r w:rsidRPr="00BC2EA0">
              <w:rPr>
                <w:rFonts w:asciiTheme="minorHAnsi" w:hAnsiTheme="minorHAnsi"/>
                <w:sz w:val="20"/>
              </w:rPr>
              <w:t>Adoption</w:t>
            </w:r>
          </w:p>
          <w:p w:rsidR="00BF255E" w:rsidRPr="00BC2EA0" w:rsidRDefault="00BF255E" w:rsidP="00BF255E">
            <w:pPr>
              <w:jc w:val="center"/>
              <w:rPr>
                <w:rFonts w:asciiTheme="minorHAnsi" w:hAnsiTheme="minorHAnsi"/>
                <w:sz w:val="20"/>
              </w:rPr>
            </w:pPr>
            <w:r w:rsidRPr="00BC2EA0">
              <w:rPr>
                <w:rFonts w:asciiTheme="minorHAnsi" w:hAnsiTheme="minorHAnsi"/>
                <w:sz w:val="20"/>
              </w:rPr>
              <w:t>April 2013</w:t>
            </w:r>
          </w:p>
        </w:tc>
        <w:tc>
          <w:tcPr>
            <w:tcW w:w="4598" w:type="dxa"/>
          </w:tcPr>
          <w:p w:rsidR="00BF255E" w:rsidRDefault="00BF255E" w:rsidP="00842A0A">
            <w:pPr>
              <w:rPr>
                <w:rFonts w:asciiTheme="minorHAnsi" w:hAnsiTheme="minorHAnsi"/>
                <w:sz w:val="20"/>
              </w:rPr>
            </w:pPr>
            <w:r w:rsidRPr="00BC2EA0">
              <w:rPr>
                <w:rFonts w:asciiTheme="minorHAnsi" w:hAnsiTheme="minorHAnsi"/>
                <w:sz w:val="20"/>
              </w:rPr>
              <w:t>The CIL charging schedule was approved by Full Council on 30 September 2013 and came in</w:t>
            </w:r>
            <w:r w:rsidR="001A5907">
              <w:rPr>
                <w:rFonts w:asciiTheme="minorHAnsi" w:hAnsiTheme="minorHAnsi"/>
                <w:sz w:val="20"/>
              </w:rPr>
              <w:t>to</w:t>
            </w:r>
            <w:r w:rsidRPr="00BC2EA0">
              <w:rPr>
                <w:rFonts w:asciiTheme="minorHAnsi" w:hAnsiTheme="minorHAnsi"/>
                <w:sz w:val="20"/>
              </w:rPr>
              <w:t xml:space="preserve"> effect in Oxford on 21 October 2013. </w:t>
            </w:r>
          </w:p>
          <w:p w:rsidR="00053087" w:rsidRPr="00BC2EA0" w:rsidRDefault="00053087" w:rsidP="00842A0A">
            <w:pPr>
              <w:rPr>
                <w:rFonts w:asciiTheme="minorHAnsi" w:hAnsiTheme="minorHAnsi"/>
                <w:sz w:val="20"/>
              </w:rPr>
            </w:pPr>
          </w:p>
        </w:tc>
      </w:tr>
      <w:tr w:rsidR="00BF255E" w:rsidTr="00A57EB2">
        <w:tc>
          <w:tcPr>
            <w:tcW w:w="3085" w:type="dxa"/>
          </w:tcPr>
          <w:p w:rsidR="00BF255E" w:rsidRPr="00A57EB2" w:rsidRDefault="00BF255E" w:rsidP="00842A0A">
            <w:pPr>
              <w:rPr>
                <w:rFonts w:asciiTheme="minorHAnsi" w:hAnsiTheme="minorHAnsi"/>
                <w:b/>
                <w:color w:val="403152" w:themeColor="accent4" w:themeShade="80"/>
                <w:sz w:val="20"/>
              </w:rPr>
            </w:pPr>
            <w:r w:rsidRPr="00A57EB2">
              <w:rPr>
                <w:rFonts w:asciiTheme="minorHAnsi" w:hAnsiTheme="minorHAnsi"/>
                <w:b/>
                <w:color w:val="403152" w:themeColor="accent4" w:themeShade="80"/>
                <w:sz w:val="20"/>
              </w:rPr>
              <w:t xml:space="preserve">Northern Gateway </w:t>
            </w:r>
            <w:r w:rsidR="00BC2EA0" w:rsidRPr="00A57EB2">
              <w:rPr>
                <w:rFonts w:asciiTheme="minorHAnsi" w:hAnsiTheme="minorHAnsi"/>
                <w:b/>
                <w:color w:val="403152" w:themeColor="accent4" w:themeShade="80"/>
                <w:sz w:val="20"/>
              </w:rPr>
              <w:t>AAP</w:t>
            </w:r>
          </w:p>
          <w:p w:rsidR="00BF255E" w:rsidRPr="00A57EB2" w:rsidRDefault="00BF255E" w:rsidP="00842A0A">
            <w:pPr>
              <w:rPr>
                <w:rFonts w:asciiTheme="minorHAnsi" w:hAnsiTheme="minorHAnsi"/>
                <w:color w:val="403152" w:themeColor="accent4" w:themeShade="80"/>
                <w:sz w:val="20"/>
              </w:rPr>
            </w:pPr>
          </w:p>
        </w:tc>
        <w:tc>
          <w:tcPr>
            <w:tcW w:w="1559" w:type="dxa"/>
          </w:tcPr>
          <w:p w:rsidR="00BF255E" w:rsidRPr="00BC2EA0" w:rsidRDefault="00BF255E" w:rsidP="00BF255E">
            <w:pPr>
              <w:jc w:val="center"/>
              <w:rPr>
                <w:rFonts w:asciiTheme="minorHAnsi" w:hAnsiTheme="minorHAnsi"/>
                <w:sz w:val="20"/>
              </w:rPr>
            </w:pPr>
            <w:r w:rsidRPr="00BC2EA0">
              <w:rPr>
                <w:rFonts w:asciiTheme="minorHAnsi" w:hAnsiTheme="minorHAnsi"/>
                <w:sz w:val="20"/>
              </w:rPr>
              <w:t>Start July 2012</w:t>
            </w:r>
            <w:r w:rsidR="002427D9">
              <w:rPr>
                <w:rFonts w:asciiTheme="minorHAnsi" w:hAnsiTheme="minorHAnsi"/>
                <w:sz w:val="20"/>
              </w:rPr>
              <w:t>*</w:t>
            </w:r>
          </w:p>
          <w:p w:rsidR="00BC2EA0" w:rsidRDefault="00BF255E" w:rsidP="00BC2EA0">
            <w:pPr>
              <w:jc w:val="center"/>
              <w:rPr>
                <w:rFonts w:asciiTheme="minorHAnsi" w:hAnsiTheme="minorHAnsi"/>
                <w:sz w:val="20"/>
              </w:rPr>
            </w:pPr>
            <w:r w:rsidRPr="00BC2EA0">
              <w:rPr>
                <w:rFonts w:asciiTheme="minorHAnsi" w:hAnsiTheme="minorHAnsi"/>
                <w:sz w:val="20"/>
              </w:rPr>
              <w:t>-</w:t>
            </w:r>
            <w:r w:rsidR="00BC2EA0">
              <w:rPr>
                <w:rFonts w:asciiTheme="minorHAnsi" w:hAnsiTheme="minorHAnsi"/>
                <w:sz w:val="20"/>
              </w:rPr>
              <w:t xml:space="preserve"> </w:t>
            </w:r>
          </w:p>
          <w:p w:rsidR="00BF255E" w:rsidRPr="00BC2EA0" w:rsidRDefault="00BF255E" w:rsidP="00BC2EA0">
            <w:pPr>
              <w:jc w:val="center"/>
              <w:rPr>
                <w:rFonts w:asciiTheme="minorHAnsi" w:hAnsiTheme="minorHAnsi"/>
                <w:sz w:val="20"/>
              </w:rPr>
            </w:pPr>
            <w:r w:rsidRPr="00BC2EA0">
              <w:rPr>
                <w:rFonts w:asciiTheme="minorHAnsi" w:hAnsiTheme="minorHAnsi"/>
                <w:sz w:val="20"/>
              </w:rPr>
              <w:t>Adoption December 2014*</w:t>
            </w:r>
          </w:p>
        </w:tc>
        <w:tc>
          <w:tcPr>
            <w:tcW w:w="4598" w:type="dxa"/>
          </w:tcPr>
          <w:p w:rsidR="00BF255E" w:rsidRDefault="00BF255E" w:rsidP="00053087">
            <w:pPr>
              <w:rPr>
                <w:rFonts w:asciiTheme="minorHAnsi" w:hAnsiTheme="minorHAnsi"/>
                <w:sz w:val="20"/>
              </w:rPr>
            </w:pPr>
            <w:r w:rsidRPr="00BC2EA0">
              <w:rPr>
                <w:rFonts w:asciiTheme="minorHAnsi" w:hAnsiTheme="minorHAnsi"/>
                <w:sz w:val="20"/>
              </w:rPr>
              <w:t xml:space="preserve">Work on the AAP has progressed in line with the amended LDS schedule. The Preferred Options were published in February 2014, with a subsequent period of consultation during February/March 2014. The AAP should move on to the Proposed Submission stage and adoption </w:t>
            </w:r>
            <w:r w:rsidR="00053087">
              <w:rPr>
                <w:rFonts w:asciiTheme="minorHAnsi" w:hAnsiTheme="minorHAnsi"/>
                <w:sz w:val="20"/>
              </w:rPr>
              <w:t>during the next monitoring year.</w:t>
            </w:r>
          </w:p>
          <w:p w:rsidR="00053087" w:rsidRPr="00BC2EA0" w:rsidRDefault="00053087" w:rsidP="00053087">
            <w:pPr>
              <w:rPr>
                <w:rFonts w:asciiTheme="minorHAnsi" w:hAnsiTheme="minorHAnsi"/>
                <w:sz w:val="20"/>
              </w:rPr>
            </w:pPr>
          </w:p>
        </w:tc>
      </w:tr>
      <w:tr w:rsidR="00BF255E" w:rsidTr="00A57EB2">
        <w:tc>
          <w:tcPr>
            <w:tcW w:w="3085" w:type="dxa"/>
          </w:tcPr>
          <w:p w:rsidR="00BF255E" w:rsidRPr="00A57EB2" w:rsidRDefault="00BF255E" w:rsidP="00842A0A">
            <w:pPr>
              <w:rPr>
                <w:rFonts w:asciiTheme="minorHAnsi" w:hAnsiTheme="minorHAnsi"/>
                <w:b/>
                <w:color w:val="403152" w:themeColor="accent4" w:themeShade="80"/>
                <w:sz w:val="20"/>
              </w:rPr>
            </w:pPr>
            <w:r w:rsidRPr="00A57EB2">
              <w:rPr>
                <w:rFonts w:asciiTheme="minorHAnsi" w:hAnsiTheme="minorHAnsi"/>
                <w:b/>
                <w:color w:val="403152" w:themeColor="accent4" w:themeShade="80"/>
                <w:sz w:val="20"/>
              </w:rPr>
              <w:t>Affordable Housing and Planning Obligations SPD</w:t>
            </w:r>
          </w:p>
          <w:p w:rsidR="00BF255E" w:rsidRPr="00A57EB2" w:rsidRDefault="00BF255E" w:rsidP="00842A0A">
            <w:pPr>
              <w:rPr>
                <w:rFonts w:asciiTheme="minorHAnsi" w:hAnsiTheme="minorHAnsi"/>
                <w:b/>
                <w:color w:val="403152" w:themeColor="accent4" w:themeShade="80"/>
                <w:sz w:val="20"/>
              </w:rPr>
            </w:pPr>
          </w:p>
        </w:tc>
        <w:tc>
          <w:tcPr>
            <w:tcW w:w="1559" w:type="dxa"/>
          </w:tcPr>
          <w:p w:rsidR="00BC2EA0" w:rsidRPr="006C7E6E" w:rsidRDefault="00BC2EA0" w:rsidP="00BC2EA0">
            <w:pPr>
              <w:jc w:val="center"/>
              <w:rPr>
                <w:rFonts w:asciiTheme="minorHAnsi" w:hAnsiTheme="minorHAnsi"/>
                <w:sz w:val="20"/>
              </w:rPr>
            </w:pPr>
            <w:r w:rsidRPr="006C7E6E">
              <w:rPr>
                <w:rFonts w:asciiTheme="minorHAnsi" w:hAnsiTheme="minorHAnsi"/>
                <w:sz w:val="20"/>
              </w:rPr>
              <w:t>Start October 2012</w:t>
            </w:r>
          </w:p>
          <w:p w:rsidR="00BC2EA0" w:rsidRPr="006C7E6E" w:rsidRDefault="00BC2EA0" w:rsidP="00BC2EA0">
            <w:pPr>
              <w:jc w:val="center"/>
              <w:rPr>
                <w:rFonts w:asciiTheme="minorHAnsi" w:hAnsiTheme="minorHAnsi"/>
                <w:sz w:val="20"/>
              </w:rPr>
            </w:pPr>
            <w:r w:rsidRPr="006C7E6E">
              <w:rPr>
                <w:rFonts w:asciiTheme="minorHAnsi" w:hAnsiTheme="minorHAnsi"/>
                <w:sz w:val="20"/>
              </w:rPr>
              <w:t xml:space="preserve"> - </w:t>
            </w:r>
          </w:p>
          <w:p w:rsidR="00BC2EA0" w:rsidRPr="00BC2EA0" w:rsidRDefault="00BC2EA0" w:rsidP="006C7E6E">
            <w:pPr>
              <w:jc w:val="center"/>
              <w:rPr>
                <w:rFonts w:asciiTheme="minorHAnsi" w:hAnsiTheme="minorHAnsi"/>
                <w:sz w:val="20"/>
              </w:rPr>
            </w:pPr>
            <w:r w:rsidRPr="006C7E6E">
              <w:rPr>
                <w:rFonts w:asciiTheme="minorHAnsi" w:hAnsiTheme="minorHAnsi"/>
                <w:sz w:val="20"/>
              </w:rPr>
              <w:t>Adoption October 2013</w:t>
            </w:r>
          </w:p>
        </w:tc>
        <w:tc>
          <w:tcPr>
            <w:tcW w:w="4598" w:type="dxa"/>
          </w:tcPr>
          <w:p w:rsidR="00BF255E" w:rsidRPr="00BC2EA0" w:rsidRDefault="00BC2EA0" w:rsidP="00BC2EA0">
            <w:pPr>
              <w:rPr>
                <w:rFonts w:asciiTheme="minorHAnsi" w:hAnsiTheme="minorHAnsi"/>
                <w:sz w:val="20"/>
              </w:rPr>
            </w:pPr>
            <w:r>
              <w:rPr>
                <w:rFonts w:asciiTheme="minorHAnsi" w:hAnsiTheme="minorHAnsi"/>
                <w:sz w:val="20"/>
              </w:rPr>
              <w:t>The SPD</w:t>
            </w:r>
            <w:r w:rsidR="00BF255E" w:rsidRPr="00BC2EA0">
              <w:rPr>
                <w:rFonts w:asciiTheme="minorHAnsi" w:hAnsiTheme="minorHAnsi"/>
                <w:sz w:val="20"/>
              </w:rPr>
              <w:t xml:space="preserve"> wa</w:t>
            </w:r>
            <w:r>
              <w:rPr>
                <w:rFonts w:asciiTheme="minorHAnsi" w:hAnsiTheme="minorHAnsi"/>
                <w:sz w:val="20"/>
              </w:rPr>
              <w:t>s adopted by the City Council on 11</w:t>
            </w:r>
            <w:r w:rsidR="00BF255E" w:rsidRPr="00BC2EA0">
              <w:rPr>
                <w:rFonts w:asciiTheme="minorHAnsi" w:hAnsiTheme="minorHAnsi"/>
                <w:sz w:val="20"/>
              </w:rPr>
              <w:t xml:space="preserve"> September 2013</w:t>
            </w:r>
            <w:r>
              <w:rPr>
                <w:rFonts w:asciiTheme="minorHAnsi" w:hAnsiTheme="minorHAnsi"/>
                <w:sz w:val="20"/>
              </w:rPr>
              <w:t>.</w:t>
            </w:r>
            <w:r w:rsidR="00BF255E" w:rsidRPr="00BC2EA0">
              <w:rPr>
                <w:rFonts w:asciiTheme="minorHAnsi" w:hAnsiTheme="minorHAnsi"/>
                <w:sz w:val="20"/>
              </w:rPr>
              <w:t xml:space="preserve"> </w:t>
            </w:r>
          </w:p>
        </w:tc>
      </w:tr>
      <w:tr w:rsidR="00BC2EA0" w:rsidTr="00A57EB2">
        <w:tc>
          <w:tcPr>
            <w:tcW w:w="3085" w:type="dxa"/>
          </w:tcPr>
          <w:p w:rsidR="00BC2EA0" w:rsidRPr="00A57EB2" w:rsidRDefault="00BC2EA0" w:rsidP="00842A0A">
            <w:pPr>
              <w:rPr>
                <w:rFonts w:asciiTheme="minorHAnsi" w:hAnsiTheme="minorHAnsi"/>
                <w:b/>
                <w:color w:val="403152" w:themeColor="accent4" w:themeShade="80"/>
                <w:sz w:val="20"/>
              </w:rPr>
            </w:pPr>
            <w:r w:rsidRPr="00A57EB2">
              <w:rPr>
                <w:rFonts w:asciiTheme="minorHAnsi" w:hAnsiTheme="minorHAnsi"/>
                <w:b/>
                <w:color w:val="403152" w:themeColor="accent4" w:themeShade="80"/>
                <w:sz w:val="20"/>
              </w:rPr>
              <w:t>Development Management DPD</w:t>
            </w:r>
          </w:p>
        </w:tc>
        <w:tc>
          <w:tcPr>
            <w:tcW w:w="1559" w:type="dxa"/>
          </w:tcPr>
          <w:p w:rsidR="00BC2EA0" w:rsidRDefault="00BC2EA0" w:rsidP="00BC2EA0">
            <w:pPr>
              <w:jc w:val="center"/>
              <w:rPr>
                <w:rFonts w:asciiTheme="minorHAnsi" w:hAnsiTheme="minorHAnsi"/>
                <w:sz w:val="20"/>
              </w:rPr>
            </w:pPr>
            <w:r>
              <w:rPr>
                <w:rFonts w:asciiTheme="minorHAnsi" w:hAnsiTheme="minorHAnsi"/>
                <w:sz w:val="20"/>
              </w:rPr>
              <w:t>Start October 2012</w:t>
            </w:r>
          </w:p>
          <w:p w:rsidR="00BC2EA0" w:rsidRDefault="00BC2EA0" w:rsidP="00BC2EA0">
            <w:pPr>
              <w:jc w:val="center"/>
              <w:rPr>
                <w:rFonts w:asciiTheme="minorHAnsi" w:hAnsiTheme="minorHAnsi"/>
                <w:sz w:val="20"/>
              </w:rPr>
            </w:pPr>
            <w:r>
              <w:rPr>
                <w:rFonts w:asciiTheme="minorHAnsi" w:hAnsiTheme="minorHAnsi"/>
                <w:sz w:val="20"/>
              </w:rPr>
              <w:t>-</w:t>
            </w:r>
          </w:p>
          <w:p w:rsidR="00BC2EA0" w:rsidRPr="00BC2EA0" w:rsidRDefault="00BC2EA0" w:rsidP="00BC2EA0">
            <w:pPr>
              <w:jc w:val="center"/>
              <w:rPr>
                <w:rFonts w:asciiTheme="minorHAnsi" w:hAnsiTheme="minorHAnsi"/>
                <w:sz w:val="20"/>
              </w:rPr>
            </w:pPr>
            <w:r>
              <w:rPr>
                <w:rFonts w:asciiTheme="minorHAnsi" w:hAnsiTheme="minorHAnsi"/>
                <w:sz w:val="20"/>
              </w:rPr>
              <w:t>Examination November 2014</w:t>
            </w:r>
          </w:p>
        </w:tc>
        <w:tc>
          <w:tcPr>
            <w:tcW w:w="4598" w:type="dxa"/>
          </w:tcPr>
          <w:p w:rsidR="00BC2EA0" w:rsidRPr="00CD1D95" w:rsidRDefault="00961FCE" w:rsidP="00961FCE">
            <w:pPr>
              <w:rPr>
                <w:rFonts w:asciiTheme="minorHAnsi" w:hAnsiTheme="minorHAnsi"/>
                <w:sz w:val="20"/>
                <w:highlight w:val="yellow"/>
              </w:rPr>
            </w:pPr>
            <w:r>
              <w:rPr>
                <w:rFonts w:asciiTheme="minorHAnsi" w:hAnsiTheme="minorHAnsi"/>
                <w:sz w:val="20"/>
              </w:rPr>
              <w:t xml:space="preserve">The </w:t>
            </w:r>
            <w:r w:rsidR="001A5907">
              <w:rPr>
                <w:rFonts w:asciiTheme="minorHAnsi" w:hAnsiTheme="minorHAnsi"/>
                <w:sz w:val="20"/>
              </w:rPr>
              <w:t xml:space="preserve">City </w:t>
            </w:r>
            <w:r w:rsidRPr="00961FCE">
              <w:rPr>
                <w:rFonts w:asciiTheme="minorHAnsi" w:hAnsiTheme="minorHAnsi"/>
                <w:sz w:val="20"/>
              </w:rPr>
              <w:t>Council has not yet made a decision on whether it w</w:t>
            </w:r>
            <w:r>
              <w:rPr>
                <w:rFonts w:asciiTheme="minorHAnsi" w:hAnsiTheme="minorHAnsi"/>
                <w:sz w:val="20"/>
              </w:rPr>
              <w:t>ill</w:t>
            </w:r>
            <w:r w:rsidRPr="00961FCE">
              <w:rPr>
                <w:rFonts w:asciiTheme="minorHAnsi" w:hAnsiTheme="minorHAnsi"/>
                <w:sz w:val="20"/>
              </w:rPr>
              <w:t xml:space="preserve"> still produce a Development Management DPD.  Many other local authorities are now r</w:t>
            </w:r>
            <w:r>
              <w:rPr>
                <w:rFonts w:asciiTheme="minorHAnsi" w:hAnsiTheme="minorHAnsi"/>
                <w:sz w:val="20"/>
              </w:rPr>
              <w:t>everting to a single Local Plan</w:t>
            </w:r>
            <w:r w:rsidRPr="00961FCE">
              <w:rPr>
                <w:rFonts w:asciiTheme="minorHAnsi" w:hAnsiTheme="minorHAnsi"/>
                <w:sz w:val="20"/>
              </w:rPr>
              <w:t xml:space="preserve"> and the </w:t>
            </w:r>
            <w:r w:rsidR="001A5907">
              <w:rPr>
                <w:rFonts w:asciiTheme="minorHAnsi" w:hAnsiTheme="minorHAnsi"/>
                <w:sz w:val="20"/>
              </w:rPr>
              <w:t xml:space="preserve">City </w:t>
            </w:r>
            <w:r w:rsidRPr="00961FCE">
              <w:rPr>
                <w:rFonts w:asciiTheme="minorHAnsi" w:hAnsiTheme="minorHAnsi"/>
                <w:sz w:val="20"/>
              </w:rPr>
              <w:t>Council will need to consider the pros and cons of such an approach.</w:t>
            </w:r>
          </w:p>
        </w:tc>
      </w:tr>
      <w:tr w:rsidR="00BC2EA0" w:rsidTr="00A57EB2">
        <w:tc>
          <w:tcPr>
            <w:tcW w:w="3085" w:type="dxa"/>
          </w:tcPr>
          <w:p w:rsidR="00BC2EA0" w:rsidRPr="00A57EB2" w:rsidRDefault="00BB7A11" w:rsidP="00842A0A">
            <w:pPr>
              <w:rPr>
                <w:rFonts w:asciiTheme="minorHAnsi" w:hAnsiTheme="minorHAnsi"/>
                <w:b/>
                <w:color w:val="403152" w:themeColor="accent4" w:themeShade="80"/>
                <w:sz w:val="20"/>
              </w:rPr>
            </w:pPr>
            <w:r>
              <w:rPr>
                <w:rFonts w:asciiTheme="minorHAnsi" w:hAnsiTheme="minorHAnsi"/>
                <w:b/>
                <w:color w:val="403152" w:themeColor="accent4" w:themeShade="80"/>
                <w:sz w:val="20"/>
              </w:rPr>
              <w:t>Low Carbon (</w:t>
            </w:r>
            <w:proofErr w:type="spellStart"/>
            <w:r>
              <w:rPr>
                <w:rFonts w:asciiTheme="minorHAnsi" w:hAnsiTheme="minorHAnsi"/>
                <w:b/>
                <w:color w:val="403152" w:themeColor="accent4" w:themeShade="80"/>
                <w:sz w:val="20"/>
              </w:rPr>
              <w:t>inc.</w:t>
            </w:r>
            <w:proofErr w:type="spellEnd"/>
            <w:r w:rsidR="00BC2EA0" w:rsidRPr="00A57EB2">
              <w:rPr>
                <w:rFonts w:asciiTheme="minorHAnsi" w:hAnsiTheme="minorHAnsi"/>
                <w:b/>
                <w:color w:val="403152" w:themeColor="accent4" w:themeShade="80"/>
                <w:sz w:val="20"/>
              </w:rPr>
              <w:t xml:space="preserve"> </w:t>
            </w:r>
            <w:r w:rsidR="00247001">
              <w:rPr>
                <w:rFonts w:asciiTheme="minorHAnsi" w:hAnsiTheme="minorHAnsi"/>
                <w:b/>
                <w:color w:val="403152" w:themeColor="accent4" w:themeShade="80"/>
                <w:sz w:val="20"/>
              </w:rPr>
              <w:t>NRIA</w:t>
            </w:r>
            <w:r w:rsidR="00BC2EA0" w:rsidRPr="00A57EB2">
              <w:rPr>
                <w:rFonts w:asciiTheme="minorHAnsi" w:hAnsiTheme="minorHAnsi"/>
                <w:b/>
                <w:color w:val="403152" w:themeColor="accent4" w:themeShade="80"/>
                <w:sz w:val="20"/>
              </w:rPr>
              <w:t>) SPD</w:t>
            </w:r>
          </w:p>
        </w:tc>
        <w:tc>
          <w:tcPr>
            <w:tcW w:w="1559" w:type="dxa"/>
          </w:tcPr>
          <w:p w:rsidR="00BC2EA0" w:rsidRDefault="00BC2EA0" w:rsidP="00BC2EA0">
            <w:pPr>
              <w:jc w:val="center"/>
              <w:rPr>
                <w:rFonts w:asciiTheme="minorHAnsi" w:hAnsiTheme="minorHAnsi"/>
                <w:sz w:val="20"/>
              </w:rPr>
            </w:pPr>
            <w:r>
              <w:rPr>
                <w:rFonts w:asciiTheme="minorHAnsi" w:hAnsiTheme="minorHAnsi"/>
                <w:sz w:val="20"/>
              </w:rPr>
              <w:t>Start April 2013</w:t>
            </w:r>
          </w:p>
          <w:p w:rsidR="00BC2EA0" w:rsidRDefault="00BC2EA0" w:rsidP="00BC2EA0">
            <w:pPr>
              <w:jc w:val="center"/>
              <w:rPr>
                <w:rFonts w:asciiTheme="minorHAnsi" w:hAnsiTheme="minorHAnsi"/>
                <w:sz w:val="20"/>
              </w:rPr>
            </w:pPr>
            <w:r>
              <w:rPr>
                <w:rFonts w:asciiTheme="minorHAnsi" w:hAnsiTheme="minorHAnsi"/>
                <w:sz w:val="20"/>
              </w:rPr>
              <w:t>-</w:t>
            </w:r>
          </w:p>
          <w:p w:rsidR="00BC2EA0" w:rsidRPr="00BC2EA0" w:rsidRDefault="00BC2EA0" w:rsidP="00BC2EA0">
            <w:pPr>
              <w:jc w:val="center"/>
              <w:rPr>
                <w:rFonts w:asciiTheme="minorHAnsi" w:hAnsiTheme="minorHAnsi"/>
                <w:sz w:val="20"/>
              </w:rPr>
            </w:pPr>
            <w:r>
              <w:rPr>
                <w:rFonts w:asciiTheme="minorHAnsi" w:hAnsiTheme="minorHAnsi"/>
                <w:sz w:val="20"/>
              </w:rPr>
              <w:t>Adoption April 2014</w:t>
            </w:r>
          </w:p>
        </w:tc>
        <w:tc>
          <w:tcPr>
            <w:tcW w:w="4598" w:type="dxa"/>
          </w:tcPr>
          <w:p w:rsidR="00BC2EA0" w:rsidRPr="00CD1D95" w:rsidRDefault="00961FCE" w:rsidP="00BC2EA0">
            <w:pPr>
              <w:rPr>
                <w:rFonts w:asciiTheme="minorHAnsi" w:hAnsiTheme="minorHAnsi"/>
                <w:sz w:val="20"/>
                <w:highlight w:val="yellow"/>
              </w:rPr>
            </w:pPr>
            <w:r>
              <w:rPr>
                <w:rFonts w:asciiTheme="minorHAnsi" w:hAnsiTheme="minorHAnsi"/>
                <w:sz w:val="20"/>
              </w:rPr>
              <w:t>This document is likely to be moved to the LDS work programme for 2014-17. Timetable to be confirmed.</w:t>
            </w:r>
          </w:p>
        </w:tc>
      </w:tr>
    </w:tbl>
    <w:p w:rsidR="001A5907" w:rsidRDefault="00BF255E" w:rsidP="00E9105E">
      <w:pPr>
        <w:rPr>
          <w:rFonts w:asciiTheme="minorHAnsi" w:hAnsiTheme="minorHAnsi"/>
          <w:i/>
          <w:sz w:val="20"/>
        </w:rPr>
      </w:pPr>
      <w:r w:rsidRPr="00BB7A11">
        <w:rPr>
          <w:rFonts w:asciiTheme="minorHAnsi" w:hAnsiTheme="minorHAnsi"/>
          <w:i/>
          <w:sz w:val="20"/>
        </w:rPr>
        <w:t>*</w:t>
      </w:r>
      <w:r w:rsidR="001A5907">
        <w:rPr>
          <w:rFonts w:asciiTheme="minorHAnsi" w:hAnsiTheme="minorHAnsi"/>
          <w:i/>
          <w:sz w:val="20"/>
        </w:rPr>
        <w:t xml:space="preserve"> Amended timescale approved by Full Council on 14</w:t>
      </w:r>
      <w:r w:rsidR="001A5907" w:rsidRPr="001A5907">
        <w:rPr>
          <w:rFonts w:asciiTheme="minorHAnsi" w:hAnsiTheme="minorHAnsi"/>
          <w:i/>
          <w:sz w:val="20"/>
          <w:vertAlign w:val="superscript"/>
        </w:rPr>
        <w:t>th</w:t>
      </w:r>
      <w:r w:rsidR="001A5907">
        <w:rPr>
          <w:rFonts w:asciiTheme="minorHAnsi" w:hAnsiTheme="minorHAnsi"/>
          <w:i/>
          <w:sz w:val="20"/>
        </w:rPr>
        <w:t xml:space="preserve"> July 2014</w:t>
      </w:r>
    </w:p>
    <w:p w:rsidR="001A5907" w:rsidRPr="00BB7A11" w:rsidRDefault="001A5907" w:rsidP="00E9105E">
      <w:pPr>
        <w:rPr>
          <w:rFonts w:asciiTheme="minorHAnsi" w:hAnsiTheme="minorHAnsi"/>
          <w:i/>
          <w:sz w:val="20"/>
        </w:rPr>
      </w:pPr>
    </w:p>
    <w:p w:rsidR="0054018D" w:rsidRPr="0054018D" w:rsidRDefault="0054018D" w:rsidP="0054018D">
      <w:pPr>
        <w:jc w:val="center"/>
        <w:rPr>
          <w:rFonts w:asciiTheme="minorHAnsi" w:hAnsiTheme="minorHAnsi"/>
          <w:b/>
          <w:sz w:val="6"/>
          <w:szCs w:val="6"/>
        </w:rPr>
      </w:pPr>
    </w:p>
    <w:p w:rsidR="007B54CF" w:rsidRPr="00610E8C" w:rsidRDefault="00EA5A77" w:rsidP="00610E8C">
      <w:pPr>
        <w:spacing w:after="200" w:line="276" w:lineRule="auto"/>
        <w:ind w:left="360"/>
        <w:jc w:val="center"/>
        <w:rPr>
          <w:rFonts w:ascii="Calibri" w:eastAsia="Calibri" w:hAnsi="Calibri" w:cs="Times New Roman"/>
          <w:sz w:val="22"/>
          <w:szCs w:val="22"/>
        </w:rPr>
      </w:pPr>
      <w:r>
        <w:rPr>
          <w:rFonts w:asciiTheme="minorHAnsi" w:hAnsiTheme="minorHAnsi" w:cstheme="minorHAnsi"/>
          <w:b/>
          <w:sz w:val="20"/>
          <w:szCs w:val="22"/>
        </w:rPr>
        <w:t>Fi</w:t>
      </w:r>
      <w:r w:rsidR="008B306D">
        <w:rPr>
          <w:rFonts w:asciiTheme="minorHAnsi" w:hAnsiTheme="minorHAnsi" w:cstheme="minorHAnsi"/>
          <w:b/>
          <w:sz w:val="20"/>
          <w:szCs w:val="22"/>
        </w:rPr>
        <w:t>gure 32</w:t>
      </w:r>
      <w:r w:rsidR="004E3A40">
        <w:rPr>
          <w:rFonts w:asciiTheme="minorHAnsi" w:hAnsiTheme="minorHAnsi" w:cstheme="minorHAnsi"/>
          <w:b/>
          <w:sz w:val="20"/>
          <w:szCs w:val="22"/>
        </w:rPr>
        <w:t>:</w:t>
      </w:r>
      <w:r w:rsidR="004E3A40" w:rsidRPr="004E3A40">
        <w:rPr>
          <w:rFonts w:asciiTheme="minorHAnsi" w:hAnsiTheme="minorHAnsi" w:cstheme="minorHAnsi"/>
          <w:sz w:val="22"/>
          <w:szCs w:val="22"/>
        </w:rPr>
        <w:t xml:space="preserve"> </w:t>
      </w:r>
      <w:r w:rsidR="004E3A40">
        <w:rPr>
          <w:rFonts w:asciiTheme="minorHAnsi" w:hAnsiTheme="minorHAnsi"/>
          <w:sz w:val="20"/>
          <w:szCs w:val="18"/>
        </w:rPr>
        <w:t>Progress on d</w:t>
      </w:r>
      <w:r w:rsidR="00BB7A11" w:rsidRPr="004E3A40">
        <w:rPr>
          <w:rFonts w:asciiTheme="minorHAnsi" w:hAnsiTheme="minorHAnsi"/>
          <w:sz w:val="20"/>
          <w:szCs w:val="18"/>
        </w:rPr>
        <w:t xml:space="preserve">ocuments due to be </w:t>
      </w:r>
      <w:r w:rsidR="002427D9" w:rsidRPr="004E3A40">
        <w:rPr>
          <w:rFonts w:asciiTheme="minorHAnsi" w:hAnsiTheme="minorHAnsi"/>
          <w:sz w:val="20"/>
          <w:szCs w:val="18"/>
        </w:rPr>
        <w:t>developed</w:t>
      </w:r>
      <w:r w:rsidR="004E3A40">
        <w:rPr>
          <w:rFonts w:asciiTheme="minorHAnsi" w:hAnsiTheme="minorHAnsi"/>
          <w:sz w:val="20"/>
          <w:szCs w:val="18"/>
        </w:rPr>
        <w:t xml:space="preserve"> and/or adopted during</w:t>
      </w:r>
      <w:r w:rsidR="00BB7A11" w:rsidRPr="004E3A40">
        <w:rPr>
          <w:rFonts w:asciiTheme="minorHAnsi" w:hAnsiTheme="minorHAnsi"/>
          <w:sz w:val="20"/>
          <w:szCs w:val="18"/>
        </w:rPr>
        <w:t xml:space="preserve"> 2013/14</w:t>
      </w:r>
    </w:p>
    <w:p w:rsidR="00E9105E" w:rsidRPr="00E63AD1" w:rsidRDefault="00E92A7D" w:rsidP="004335B5">
      <w:pPr>
        <w:pStyle w:val="Header"/>
        <w:numPr>
          <w:ilvl w:val="1"/>
          <w:numId w:val="17"/>
        </w:numPr>
        <w:tabs>
          <w:tab w:val="clear" w:pos="4513"/>
          <w:tab w:val="clear" w:pos="9026"/>
        </w:tabs>
        <w:jc w:val="both"/>
        <w:rPr>
          <w:rFonts w:ascii="Calibri" w:hAnsi="Calibri"/>
          <w:sz w:val="22"/>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87264" behindDoc="0" locked="0" layoutInCell="1" allowOverlap="1" wp14:anchorId="0C2923E2" wp14:editId="21523C97">
                <wp:simplePos x="0" y="0"/>
                <wp:positionH relativeFrom="column">
                  <wp:posOffset>3810000</wp:posOffset>
                </wp:positionH>
                <wp:positionV relativeFrom="paragraph">
                  <wp:posOffset>-570230</wp:posOffset>
                </wp:positionV>
                <wp:extent cx="2122805" cy="352425"/>
                <wp:effectExtent l="0" t="0" r="0" b="9525"/>
                <wp:wrapNone/>
                <wp:docPr id="97" name="Text Box 97"/>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7" o:spid="_x0000_s1085" type="#_x0000_t202" style="position:absolute;left:0;text-align:left;margin-left:300pt;margin-top:-44.9pt;width:167.15pt;height:27.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BC2EA0" w:rsidRPr="00E63AD1">
        <w:rPr>
          <w:rFonts w:asciiTheme="minorHAnsi" w:hAnsiTheme="minorHAnsi"/>
          <w:sz w:val="22"/>
        </w:rPr>
        <w:t>In addition to the do</w:t>
      </w:r>
      <w:r w:rsidR="00AE7245" w:rsidRPr="00E63AD1">
        <w:rPr>
          <w:rFonts w:asciiTheme="minorHAnsi" w:hAnsiTheme="minorHAnsi"/>
          <w:sz w:val="22"/>
        </w:rPr>
        <w:t>cuments set out in the LDS, progress</w:t>
      </w:r>
      <w:r w:rsidR="00BC2EA0" w:rsidRPr="00E63AD1">
        <w:rPr>
          <w:rFonts w:asciiTheme="minorHAnsi" w:hAnsiTheme="minorHAnsi"/>
          <w:sz w:val="22"/>
        </w:rPr>
        <w:t xml:space="preserve"> has also been </w:t>
      </w:r>
      <w:r w:rsidR="00AE7245" w:rsidRPr="00E63AD1">
        <w:rPr>
          <w:rFonts w:asciiTheme="minorHAnsi" w:hAnsiTheme="minorHAnsi"/>
          <w:sz w:val="22"/>
        </w:rPr>
        <w:t>made</w:t>
      </w:r>
      <w:r w:rsidR="00BC2EA0" w:rsidRPr="00E63AD1">
        <w:rPr>
          <w:rFonts w:asciiTheme="minorHAnsi" w:hAnsiTheme="minorHAnsi"/>
          <w:sz w:val="22"/>
        </w:rPr>
        <w:t xml:space="preserve"> on a number of othe</w:t>
      </w:r>
      <w:r w:rsidR="00AE7245" w:rsidRPr="00E63AD1">
        <w:rPr>
          <w:rFonts w:asciiTheme="minorHAnsi" w:hAnsiTheme="minorHAnsi"/>
          <w:sz w:val="22"/>
        </w:rPr>
        <w:t>r</w:t>
      </w:r>
      <w:r w:rsidR="00BC2EA0" w:rsidRPr="00E63AD1">
        <w:rPr>
          <w:rFonts w:asciiTheme="minorHAnsi" w:hAnsiTheme="minorHAnsi"/>
          <w:sz w:val="22"/>
        </w:rPr>
        <w:t xml:space="preserve"> SPDs: </w:t>
      </w:r>
    </w:p>
    <w:p w:rsidR="00AE7245" w:rsidRPr="00AE7245" w:rsidRDefault="00AE7245" w:rsidP="00E9105E">
      <w:pPr>
        <w:rPr>
          <w:rFonts w:asciiTheme="minorHAnsi" w:hAnsiTheme="minorHAnsi"/>
          <w:sz w:val="6"/>
          <w:szCs w:val="6"/>
        </w:rPr>
      </w:pPr>
    </w:p>
    <w:p w:rsidR="00E9105E" w:rsidRDefault="00E9105E" w:rsidP="004335B5">
      <w:pPr>
        <w:pStyle w:val="ListParagraph"/>
        <w:numPr>
          <w:ilvl w:val="0"/>
          <w:numId w:val="10"/>
        </w:numPr>
        <w:rPr>
          <w:rFonts w:asciiTheme="minorHAnsi" w:hAnsiTheme="minorHAnsi"/>
          <w:sz w:val="22"/>
        </w:rPr>
      </w:pPr>
      <w:proofErr w:type="spellStart"/>
      <w:r w:rsidRPr="00A57EB2">
        <w:rPr>
          <w:rFonts w:asciiTheme="minorHAnsi" w:hAnsiTheme="minorHAnsi"/>
          <w:b/>
          <w:color w:val="5F497A" w:themeColor="accent4" w:themeShade="BF"/>
          <w:sz w:val="22"/>
        </w:rPr>
        <w:t>Oxpens</w:t>
      </w:r>
      <w:proofErr w:type="spellEnd"/>
      <w:r w:rsidRPr="00A57EB2">
        <w:rPr>
          <w:rFonts w:asciiTheme="minorHAnsi" w:hAnsiTheme="minorHAnsi"/>
          <w:b/>
          <w:color w:val="5F497A" w:themeColor="accent4" w:themeShade="BF"/>
          <w:sz w:val="22"/>
        </w:rPr>
        <w:t xml:space="preserve"> </w:t>
      </w:r>
      <w:proofErr w:type="spellStart"/>
      <w:r w:rsidRPr="00A57EB2">
        <w:rPr>
          <w:rFonts w:asciiTheme="minorHAnsi" w:hAnsiTheme="minorHAnsi"/>
          <w:b/>
          <w:color w:val="5F497A" w:themeColor="accent4" w:themeShade="BF"/>
          <w:sz w:val="22"/>
        </w:rPr>
        <w:t>Masterplan</w:t>
      </w:r>
      <w:proofErr w:type="spellEnd"/>
      <w:r w:rsidRPr="00A57EB2">
        <w:rPr>
          <w:rFonts w:asciiTheme="minorHAnsi" w:hAnsiTheme="minorHAnsi"/>
          <w:b/>
          <w:color w:val="5F497A" w:themeColor="accent4" w:themeShade="BF"/>
          <w:sz w:val="22"/>
        </w:rPr>
        <w:t xml:space="preserve"> SDP</w:t>
      </w:r>
      <w:r w:rsidR="00AE7245">
        <w:rPr>
          <w:rFonts w:asciiTheme="minorHAnsi" w:hAnsiTheme="minorHAnsi"/>
          <w:sz w:val="22"/>
        </w:rPr>
        <w:t xml:space="preserve"> - Adopted N</w:t>
      </w:r>
      <w:r w:rsidRPr="00E9105E">
        <w:rPr>
          <w:rFonts w:asciiTheme="minorHAnsi" w:hAnsiTheme="minorHAnsi"/>
          <w:sz w:val="22"/>
        </w:rPr>
        <w:t xml:space="preserve">ovember 2013. </w:t>
      </w:r>
    </w:p>
    <w:p w:rsidR="00053087" w:rsidRPr="00053087" w:rsidRDefault="00053087" w:rsidP="00053087">
      <w:pPr>
        <w:pStyle w:val="ListParagraph"/>
        <w:rPr>
          <w:rFonts w:asciiTheme="minorHAnsi" w:hAnsiTheme="minorHAnsi"/>
          <w:sz w:val="6"/>
          <w:szCs w:val="6"/>
        </w:rPr>
      </w:pPr>
    </w:p>
    <w:p w:rsidR="00AE7245" w:rsidRPr="00AE7245" w:rsidRDefault="00AE7245" w:rsidP="00AE7245">
      <w:pPr>
        <w:pStyle w:val="ListParagraph"/>
        <w:rPr>
          <w:rFonts w:asciiTheme="minorHAnsi" w:hAnsiTheme="minorHAnsi"/>
          <w:sz w:val="6"/>
          <w:szCs w:val="6"/>
        </w:rPr>
      </w:pPr>
    </w:p>
    <w:p w:rsidR="00E9105E" w:rsidRDefault="00E9105E" w:rsidP="004335B5">
      <w:pPr>
        <w:pStyle w:val="ListParagraph"/>
        <w:numPr>
          <w:ilvl w:val="0"/>
          <w:numId w:val="10"/>
        </w:numPr>
        <w:rPr>
          <w:rFonts w:asciiTheme="minorHAnsi" w:hAnsiTheme="minorHAnsi"/>
          <w:sz w:val="22"/>
        </w:rPr>
      </w:pPr>
      <w:r w:rsidRPr="00A57EB2">
        <w:rPr>
          <w:rFonts w:asciiTheme="minorHAnsi" w:hAnsiTheme="minorHAnsi"/>
          <w:b/>
          <w:color w:val="5F497A" w:themeColor="accent4" w:themeShade="BF"/>
          <w:sz w:val="22"/>
        </w:rPr>
        <w:t xml:space="preserve">Jericho </w:t>
      </w:r>
      <w:proofErr w:type="spellStart"/>
      <w:r w:rsidRPr="00A57EB2">
        <w:rPr>
          <w:rFonts w:asciiTheme="minorHAnsi" w:hAnsiTheme="minorHAnsi"/>
          <w:b/>
          <w:color w:val="5F497A" w:themeColor="accent4" w:themeShade="BF"/>
          <w:sz w:val="22"/>
        </w:rPr>
        <w:t>Canalside</w:t>
      </w:r>
      <w:proofErr w:type="spellEnd"/>
      <w:r w:rsidRPr="00A57EB2">
        <w:rPr>
          <w:rFonts w:asciiTheme="minorHAnsi" w:hAnsiTheme="minorHAnsi"/>
          <w:b/>
          <w:color w:val="5F497A" w:themeColor="accent4" w:themeShade="BF"/>
          <w:sz w:val="22"/>
        </w:rPr>
        <w:t xml:space="preserve"> SPD</w:t>
      </w:r>
      <w:r w:rsidR="00AE7245">
        <w:rPr>
          <w:rFonts w:asciiTheme="minorHAnsi" w:hAnsiTheme="minorHAnsi"/>
          <w:sz w:val="22"/>
        </w:rPr>
        <w:t xml:space="preserve"> -</w:t>
      </w:r>
      <w:r w:rsidRPr="00E9105E">
        <w:rPr>
          <w:rFonts w:asciiTheme="minorHAnsi" w:hAnsiTheme="minorHAnsi"/>
          <w:sz w:val="22"/>
        </w:rPr>
        <w:t xml:space="preserve"> </w:t>
      </w:r>
      <w:r w:rsidR="00AE7245">
        <w:rPr>
          <w:rFonts w:asciiTheme="minorHAnsi" w:hAnsiTheme="minorHAnsi"/>
          <w:sz w:val="22"/>
        </w:rPr>
        <w:t>Adopted</w:t>
      </w:r>
      <w:r w:rsidR="00BC2EA0">
        <w:rPr>
          <w:rFonts w:asciiTheme="minorHAnsi" w:hAnsiTheme="minorHAnsi"/>
          <w:sz w:val="22"/>
        </w:rPr>
        <w:t xml:space="preserve"> December 2013.</w:t>
      </w:r>
    </w:p>
    <w:p w:rsidR="00053087" w:rsidRPr="00053087" w:rsidRDefault="00053087" w:rsidP="00053087">
      <w:pPr>
        <w:pStyle w:val="ListParagraph"/>
        <w:rPr>
          <w:rFonts w:asciiTheme="minorHAnsi" w:hAnsiTheme="minorHAnsi"/>
          <w:sz w:val="6"/>
          <w:szCs w:val="6"/>
        </w:rPr>
      </w:pPr>
    </w:p>
    <w:p w:rsidR="00AE7245" w:rsidRPr="00AE7245" w:rsidRDefault="00AE7245" w:rsidP="00AE7245">
      <w:pPr>
        <w:pStyle w:val="ListParagraph"/>
        <w:rPr>
          <w:rFonts w:asciiTheme="minorHAnsi" w:hAnsiTheme="minorHAnsi"/>
          <w:sz w:val="6"/>
          <w:szCs w:val="6"/>
        </w:rPr>
      </w:pPr>
    </w:p>
    <w:p w:rsidR="00AE7245" w:rsidRDefault="00BC2EA0" w:rsidP="004335B5">
      <w:pPr>
        <w:pStyle w:val="ListParagraph"/>
        <w:numPr>
          <w:ilvl w:val="0"/>
          <w:numId w:val="10"/>
        </w:numPr>
        <w:rPr>
          <w:rFonts w:asciiTheme="minorHAnsi" w:hAnsiTheme="minorHAnsi"/>
          <w:sz w:val="22"/>
        </w:rPr>
      </w:pPr>
      <w:r w:rsidRPr="00A57EB2">
        <w:rPr>
          <w:rFonts w:asciiTheme="minorHAnsi" w:hAnsiTheme="minorHAnsi"/>
          <w:b/>
          <w:color w:val="5F497A" w:themeColor="accent4" w:themeShade="BF"/>
          <w:sz w:val="22"/>
        </w:rPr>
        <w:t>Diamond Place SPD</w:t>
      </w:r>
      <w:r w:rsidRPr="00E9105E">
        <w:rPr>
          <w:rFonts w:asciiTheme="minorHAnsi" w:hAnsiTheme="minorHAnsi"/>
          <w:color w:val="5F497A" w:themeColor="accent4" w:themeShade="BF"/>
          <w:sz w:val="22"/>
        </w:rPr>
        <w:t xml:space="preserve"> </w:t>
      </w:r>
      <w:r w:rsidRPr="00E9105E">
        <w:rPr>
          <w:rFonts w:asciiTheme="minorHAnsi" w:hAnsiTheme="minorHAnsi"/>
          <w:sz w:val="22"/>
        </w:rPr>
        <w:t xml:space="preserve">- </w:t>
      </w:r>
      <w:r>
        <w:rPr>
          <w:rFonts w:asciiTheme="minorHAnsi" w:hAnsiTheme="minorHAnsi"/>
          <w:sz w:val="22"/>
        </w:rPr>
        <w:t>P</w:t>
      </w:r>
      <w:r w:rsidRPr="00E9105E">
        <w:rPr>
          <w:rFonts w:asciiTheme="minorHAnsi" w:hAnsiTheme="minorHAnsi"/>
          <w:sz w:val="22"/>
        </w:rPr>
        <w:t>reparatory work</w:t>
      </w:r>
      <w:r>
        <w:rPr>
          <w:rFonts w:asciiTheme="minorHAnsi" w:hAnsiTheme="minorHAnsi"/>
          <w:sz w:val="22"/>
        </w:rPr>
        <w:t>,</w:t>
      </w:r>
      <w:r w:rsidRPr="00E9105E">
        <w:rPr>
          <w:rFonts w:asciiTheme="minorHAnsi" w:hAnsiTheme="minorHAnsi"/>
          <w:sz w:val="22"/>
        </w:rPr>
        <w:t xml:space="preserve"> including early stakeholder &amp; community engagement</w:t>
      </w:r>
      <w:r>
        <w:rPr>
          <w:rFonts w:asciiTheme="minorHAnsi" w:hAnsiTheme="minorHAnsi"/>
          <w:sz w:val="22"/>
        </w:rPr>
        <w:t>,</w:t>
      </w:r>
      <w:r w:rsidR="00AE7245">
        <w:rPr>
          <w:rFonts w:asciiTheme="minorHAnsi" w:hAnsiTheme="minorHAnsi"/>
          <w:sz w:val="22"/>
        </w:rPr>
        <w:t xml:space="preserve"> </w:t>
      </w:r>
      <w:r w:rsidRPr="00E9105E">
        <w:rPr>
          <w:rFonts w:asciiTheme="minorHAnsi" w:hAnsiTheme="minorHAnsi"/>
          <w:sz w:val="22"/>
        </w:rPr>
        <w:t>undertaken</w:t>
      </w:r>
      <w:r w:rsidR="00AE7245">
        <w:rPr>
          <w:rFonts w:asciiTheme="minorHAnsi" w:hAnsiTheme="minorHAnsi"/>
          <w:sz w:val="22"/>
        </w:rPr>
        <w:t xml:space="preserve"> during the monitoring year.</w:t>
      </w:r>
    </w:p>
    <w:p w:rsidR="00053087" w:rsidRPr="00053087" w:rsidRDefault="00053087" w:rsidP="00053087">
      <w:pPr>
        <w:pStyle w:val="ListParagraph"/>
        <w:rPr>
          <w:rFonts w:asciiTheme="minorHAnsi" w:hAnsiTheme="minorHAnsi"/>
          <w:sz w:val="6"/>
          <w:szCs w:val="6"/>
        </w:rPr>
      </w:pPr>
    </w:p>
    <w:p w:rsidR="00053087" w:rsidRDefault="00CD1D95" w:rsidP="004335B5">
      <w:pPr>
        <w:pStyle w:val="ListParagraph"/>
        <w:numPr>
          <w:ilvl w:val="0"/>
          <w:numId w:val="10"/>
        </w:numPr>
        <w:rPr>
          <w:rFonts w:asciiTheme="minorHAnsi" w:hAnsiTheme="minorHAnsi"/>
          <w:sz w:val="22"/>
        </w:rPr>
      </w:pPr>
      <w:r w:rsidRPr="00A57EB2">
        <w:rPr>
          <w:rFonts w:asciiTheme="minorHAnsi" w:hAnsiTheme="minorHAnsi"/>
          <w:b/>
          <w:color w:val="5F497A" w:themeColor="accent4" w:themeShade="BF"/>
          <w:sz w:val="22"/>
        </w:rPr>
        <w:t>Oxford Station SPD</w:t>
      </w:r>
      <w:r w:rsidRPr="00A57EB2">
        <w:rPr>
          <w:rFonts w:asciiTheme="minorHAnsi" w:hAnsiTheme="minorHAnsi"/>
          <w:b/>
          <w:sz w:val="22"/>
        </w:rPr>
        <w:t xml:space="preserve"> </w:t>
      </w:r>
      <w:r>
        <w:rPr>
          <w:rFonts w:asciiTheme="minorHAnsi" w:hAnsiTheme="minorHAnsi"/>
          <w:sz w:val="22"/>
        </w:rPr>
        <w:t xml:space="preserve">- </w:t>
      </w:r>
      <w:r w:rsidR="00E9105E" w:rsidRPr="00CD1D95">
        <w:rPr>
          <w:rFonts w:asciiTheme="minorHAnsi" w:hAnsiTheme="minorHAnsi"/>
          <w:sz w:val="22"/>
        </w:rPr>
        <w:t>The previous AMR rep</w:t>
      </w:r>
      <w:r w:rsidR="00AE7245" w:rsidRPr="00CD1D95">
        <w:rPr>
          <w:rFonts w:asciiTheme="minorHAnsi" w:hAnsiTheme="minorHAnsi"/>
          <w:sz w:val="22"/>
        </w:rPr>
        <w:t>orted th</w:t>
      </w:r>
      <w:r>
        <w:rPr>
          <w:rFonts w:asciiTheme="minorHAnsi" w:hAnsiTheme="minorHAnsi"/>
          <w:sz w:val="22"/>
        </w:rPr>
        <w:t>at it was</w:t>
      </w:r>
      <w:r w:rsidR="00AE7245" w:rsidRPr="00CD1D95">
        <w:rPr>
          <w:rFonts w:asciiTheme="minorHAnsi" w:hAnsiTheme="minorHAnsi"/>
          <w:sz w:val="22"/>
        </w:rPr>
        <w:t xml:space="preserve"> likely that work would start on an</w:t>
      </w:r>
      <w:r w:rsidR="00E9105E" w:rsidRPr="00CD1D95">
        <w:rPr>
          <w:rFonts w:asciiTheme="minorHAnsi" w:hAnsiTheme="minorHAnsi"/>
          <w:sz w:val="22"/>
        </w:rPr>
        <w:t xml:space="preserve"> SPD </w:t>
      </w:r>
      <w:r w:rsidR="00AE7245" w:rsidRPr="00CD1D95">
        <w:rPr>
          <w:rFonts w:asciiTheme="minorHAnsi" w:hAnsiTheme="minorHAnsi"/>
          <w:sz w:val="22"/>
        </w:rPr>
        <w:t xml:space="preserve">for Oxford Station during the monitoring period. </w:t>
      </w:r>
      <w:r w:rsidR="00E9105E" w:rsidRPr="00CD1D95">
        <w:rPr>
          <w:rFonts w:asciiTheme="minorHAnsi" w:hAnsiTheme="minorHAnsi"/>
          <w:sz w:val="22"/>
        </w:rPr>
        <w:t xml:space="preserve">Oxford City Council, Oxfordshire County Council and Network Rail have </w:t>
      </w:r>
      <w:r>
        <w:rPr>
          <w:rFonts w:asciiTheme="minorHAnsi" w:hAnsiTheme="minorHAnsi"/>
          <w:sz w:val="22"/>
        </w:rPr>
        <w:t xml:space="preserve">now entered into a </w:t>
      </w:r>
      <w:r w:rsidR="00E9105E" w:rsidRPr="00CD1D95">
        <w:rPr>
          <w:rFonts w:asciiTheme="minorHAnsi" w:hAnsiTheme="minorHAnsi"/>
          <w:sz w:val="22"/>
        </w:rPr>
        <w:t xml:space="preserve">tripartite agreement and a </w:t>
      </w:r>
      <w:proofErr w:type="spellStart"/>
      <w:r w:rsidR="00E9105E" w:rsidRPr="00CD1D95">
        <w:rPr>
          <w:rFonts w:asciiTheme="minorHAnsi" w:hAnsiTheme="minorHAnsi"/>
          <w:sz w:val="22"/>
        </w:rPr>
        <w:t>Masterplan</w:t>
      </w:r>
      <w:proofErr w:type="spellEnd"/>
      <w:r w:rsidR="00E9105E" w:rsidRPr="00CD1D95">
        <w:rPr>
          <w:rFonts w:asciiTheme="minorHAnsi" w:hAnsiTheme="minorHAnsi"/>
          <w:sz w:val="22"/>
        </w:rPr>
        <w:t xml:space="preserve"> has been developed. </w:t>
      </w:r>
    </w:p>
    <w:p w:rsidR="00E63AD1" w:rsidRPr="00E63AD1" w:rsidRDefault="00E63AD1" w:rsidP="00E63AD1">
      <w:pPr>
        <w:pStyle w:val="ListParagraph"/>
        <w:rPr>
          <w:rFonts w:asciiTheme="minorHAnsi" w:hAnsiTheme="minorHAnsi"/>
          <w:sz w:val="22"/>
        </w:rPr>
      </w:pPr>
    </w:p>
    <w:p w:rsidR="00053087" w:rsidRPr="00053087" w:rsidRDefault="00053087" w:rsidP="00053087">
      <w:pPr>
        <w:pStyle w:val="ListParagraph"/>
        <w:rPr>
          <w:rFonts w:asciiTheme="minorHAnsi" w:hAnsiTheme="minorHAnsi"/>
          <w:sz w:val="22"/>
        </w:rPr>
      </w:pPr>
    </w:p>
    <w:p w:rsidR="00F1483B" w:rsidRDefault="00F1483B" w:rsidP="00F1483B">
      <w:pPr>
        <w:shd w:val="clear" w:color="auto" w:fill="E5DFEC" w:themeFill="accent4" w:themeFillTint="33"/>
        <w:rPr>
          <w:rFonts w:asciiTheme="minorHAnsi" w:hAnsiTheme="minorHAnsi" w:cstheme="minorHAnsi"/>
          <w:b/>
          <w:color w:val="403152" w:themeColor="accent4" w:themeShade="80"/>
          <w:sz w:val="28"/>
          <w:szCs w:val="22"/>
        </w:rPr>
      </w:pPr>
      <w:r>
        <w:rPr>
          <w:rFonts w:asciiTheme="minorHAnsi" w:hAnsiTheme="minorHAnsi" w:cstheme="minorHAnsi"/>
          <w:b/>
          <w:color w:val="403152" w:themeColor="accent4" w:themeShade="80"/>
          <w:sz w:val="28"/>
          <w:szCs w:val="22"/>
        </w:rPr>
        <w:t>Appeal Decision Monitoring</w:t>
      </w:r>
    </w:p>
    <w:p w:rsidR="00F1483B" w:rsidRPr="007606B3" w:rsidRDefault="00F1483B" w:rsidP="000773F3">
      <w:pPr>
        <w:rPr>
          <w:rFonts w:asciiTheme="minorHAnsi" w:hAnsiTheme="minorHAnsi" w:cstheme="minorHAnsi"/>
          <w:sz w:val="22"/>
          <w:szCs w:val="22"/>
        </w:rPr>
      </w:pPr>
    </w:p>
    <w:p w:rsidR="007606B3" w:rsidRPr="00E63AD1" w:rsidRDefault="007606B3"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 xml:space="preserve">57 planning appeals (excluding enforcement appeals) </w:t>
      </w:r>
      <w:r w:rsidR="00C133A9" w:rsidRPr="00E63AD1">
        <w:rPr>
          <w:rFonts w:asciiTheme="minorHAnsi" w:hAnsiTheme="minorHAnsi" w:cstheme="minorHAnsi"/>
          <w:sz w:val="22"/>
          <w:szCs w:val="22"/>
        </w:rPr>
        <w:t xml:space="preserve">were determined </w:t>
      </w:r>
      <w:r w:rsidRPr="00E63AD1">
        <w:rPr>
          <w:rFonts w:asciiTheme="minorHAnsi" w:hAnsiTheme="minorHAnsi" w:cstheme="minorHAnsi"/>
          <w:sz w:val="22"/>
          <w:szCs w:val="22"/>
        </w:rPr>
        <w:t>during the monitori</w:t>
      </w:r>
      <w:r w:rsidR="008B306D">
        <w:rPr>
          <w:rFonts w:asciiTheme="minorHAnsi" w:hAnsiTheme="minorHAnsi" w:cstheme="minorHAnsi"/>
          <w:sz w:val="22"/>
          <w:szCs w:val="22"/>
        </w:rPr>
        <w:t>ng year. Figure 33</w:t>
      </w:r>
      <w:r w:rsidR="00C133A9" w:rsidRPr="00E63AD1">
        <w:rPr>
          <w:rFonts w:asciiTheme="minorHAnsi" w:hAnsiTheme="minorHAnsi" w:cstheme="minorHAnsi"/>
          <w:sz w:val="22"/>
          <w:szCs w:val="22"/>
        </w:rPr>
        <w:t xml:space="preserve"> provides a summary of these decisions.</w:t>
      </w:r>
    </w:p>
    <w:p w:rsidR="007606B3" w:rsidRDefault="00C133A9" w:rsidP="00C133A9">
      <w:pPr>
        <w:jc w:val="center"/>
        <w:rPr>
          <w:rFonts w:asciiTheme="minorHAnsi" w:hAnsiTheme="minorHAnsi" w:cstheme="minorHAnsi"/>
          <w:b/>
          <w:color w:val="403152" w:themeColor="accent4" w:themeShade="80"/>
          <w:sz w:val="28"/>
          <w:szCs w:val="22"/>
        </w:rPr>
      </w:pPr>
      <w:r>
        <w:rPr>
          <w:noProof/>
          <w:lang w:eastAsia="en-GB"/>
        </w:rPr>
        <w:drawing>
          <wp:inline distT="0" distB="0" distL="0" distR="0" wp14:anchorId="6AEB3C21" wp14:editId="5D6E9E92">
            <wp:extent cx="4572000" cy="2743200"/>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3A40" w:rsidRPr="00ED3048" w:rsidRDefault="008B306D" w:rsidP="00ED3048">
      <w:pPr>
        <w:spacing w:after="200" w:line="276" w:lineRule="auto"/>
        <w:ind w:left="360"/>
        <w:jc w:val="center"/>
        <w:rPr>
          <w:rFonts w:asciiTheme="minorHAnsi" w:hAnsiTheme="minorHAnsi" w:cstheme="minorHAnsi"/>
          <w:sz w:val="20"/>
          <w:szCs w:val="22"/>
        </w:rPr>
      </w:pPr>
      <w:r>
        <w:rPr>
          <w:rFonts w:asciiTheme="minorHAnsi" w:hAnsiTheme="minorHAnsi" w:cstheme="minorHAnsi"/>
          <w:b/>
          <w:sz w:val="20"/>
          <w:szCs w:val="22"/>
        </w:rPr>
        <w:t>Figure 33</w:t>
      </w:r>
      <w:r w:rsidR="004E3A40">
        <w:rPr>
          <w:rFonts w:asciiTheme="minorHAnsi" w:hAnsiTheme="minorHAnsi" w:cstheme="minorHAnsi"/>
          <w:b/>
          <w:sz w:val="20"/>
          <w:szCs w:val="22"/>
        </w:rPr>
        <w:t xml:space="preserve">: </w:t>
      </w:r>
      <w:r w:rsidR="004E3A40">
        <w:rPr>
          <w:rFonts w:asciiTheme="minorHAnsi" w:hAnsiTheme="minorHAnsi" w:cstheme="minorHAnsi"/>
          <w:sz w:val="20"/>
          <w:szCs w:val="22"/>
        </w:rPr>
        <w:t xml:space="preserve">Planning appeal decisions (excluding </w:t>
      </w:r>
      <w:r w:rsidR="00ED3048">
        <w:rPr>
          <w:rFonts w:asciiTheme="minorHAnsi" w:hAnsiTheme="minorHAnsi" w:cstheme="minorHAnsi"/>
          <w:sz w:val="20"/>
          <w:szCs w:val="22"/>
        </w:rPr>
        <w:t>enforcement) 2013/14</w:t>
      </w:r>
    </w:p>
    <w:p w:rsidR="00DC274B" w:rsidRPr="00E63AD1" w:rsidRDefault="00DC274B"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Appeal decisions are monitored in order to</w:t>
      </w:r>
      <w:r w:rsidR="00A62DC5" w:rsidRPr="00E63AD1">
        <w:rPr>
          <w:rFonts w:asciiTheme="minorHAnsi" w:hAnsiTheme="minorHAnsi" w:cstheme="minorHAnsi"/>
          <w:sz w:val="22"/>
          <w:szCs w:val="22"/>
        </w:rPr>
        <w:t xml:space="preserve"> better</w:t>
      </w:r>
      <w:r w:rsidRPr="00E63AD1">
        <w:rPr>
          <w:rFonts w:asciiTheme="minorHAnsi" w:hAnsiTheme="minorHAnsi" w:cstheme="minorHAnsi"/>
          <w:sz w:val="22"/>
          <w:szCs w:val="22"/>
        </w:rPr>
        <w:t xml:space="preserve"> understand how </w:t>
      </w:r>
      <w:r w:rsidR="00A62DC5" w:rsidRPr="00E63AD1">
        <w:rPr>
          <w:rFonts w:asciiTheme="minorHAnsi" w:hAnsiTheme="minorHAnsi" w:cstheme="minorHAnsi"/>
          <w:sz w:val="22"/>
          <w:szCs w:val="22"/>
        </w:rPr>
        <w:t xml:space="preserve">planning </w:t>
      </w:r>
      <w:r w:rsidRPr="00E63AD1">
        <w:rPr>
          <w:rFonts w:asciiTheme="minorHAnsi" w:hAnsiTheme="minorHAnsi" w:cstheme="minorHAnsi"/>
          <w:sz w:val="22"/>
          <w:szCs w:val="22"/>
        </w:rPr>
        <w:t>policies</w:t>
      </w:r>
      <w:r w:rsidR="00A62DC5" w:rsidRPr="00E63AD1">
        <w:rPr>
          <w:rFonts w:asciiTheme="minorHAnsi" w:hAnsiTheme="minorHAnsi" w:cstheme="minorHAnsi"/>
          <w:sz w:val="22"/>
          <w:szCs w:val="22"/>
        </w:rPr>
        <w:t xml:space="preserve"> in Oxford’s Local Development Plan</w:t>
      </w:r>
      <w:r w:rsidRPr="00E63AD1">
        <w:rPr>
          <w:rFonts w:asciiTheme="minorHAnsi" w:hAnsiTheme="minorHAnsi" w:cstheme="minorHAnsi"/>
          <w:sz w:val="22"/>
          <w:szCs w:val="22"/>
        </w:rPr>
        <w:t xml:space="preserve"> are interpreted and applied by Inspectors</w:t>
      </w:r>
      <w:r w:rsidR="00A62DC5" w:rsidRPr="00E63AD1">
        <w:rPr>
          <w:rFonts w:asciiTheme="minorHAnsi" w:hAnsiTheme="minorHAnsi" w:cstheme="minorHAnsi"/>
          <w:sz w:val="22"/>
          <w:szCs w:val="22"/>
        </w:rPr>
        <w:t>, including whether they are considered to be</w:t>
      </w:r>
      <w:r w:rsidRPr="00E63AD1">
        <w:rPr>
          <w:rFonts w:asciiTheme="minorHAnsi" w:hAnsiTheme="minorHAnsi" w:cstheme="minorHAnsi"/>
          <w:sz w:val="22"/>
          <w:szCs w:val="22"/>
        </w:rPr>
        <w:t xml:space="preserve"> up-to-date and compatible with the National Planning Policy Framework (NPPF) and Planning Practice Guidance (PPG).</w:t>
      </w:r>
      <w:r w:rsidR="00F843E4" w:rsidRPr="00E63AD1">
        <w:rPr>
          <w:rFonts w:asciiTheme="minorHAnsi" w:hAnsiTheme="minorHAnsi" w:cstheme="minorHAnsi"/>
          <w:sz w:val="22"/>
          <w:szCs w:val="22"/>
        </w:rPr>
        <w:t xml:space="preserve"> </w:t>
      </w:r>
      <w:r w:rsidRPr="00E63AD1">
        <w:rPr>
          <w:rFonts w:asciiTheme="minorHAnsi" w:hAnsiTheme="minorHAnsi" w:cstheme="minorHAnsi"/>
          <w:sz w:val="22"/>
          <w:szCs w:val="22"/>
        </w:rPr>
        <w:t>In the majority of cases, Inspectors considered the policies in Oxford’s Local Development Plan to be consistent with the objectives of the NPPF and PPG.</w:t>
      </w:r>
      <w:r w:rsidR="00F843E4" w:rsidRPr="00E63AD1">
        <w:rPr>
          <w:rFonts w:asciiTheme="minorHAnsi" w:hAnsiTheme="minorHAnsi" w:cstheme="minorHAnsi"/>
          <w:sz w:val="22"/>
          <w:szCs w:val="22"/>
        </w:rPr>
        <w:t xml:space="preserve">  A summary of the main policy issues raised by Inspectors is provided below:</w:t>
      </w:r>
    </w:p>
    <w:p w:rsidR="00E63AD1" w:rsidRDefault="00E63AD1" w:rsidP="00E63AD1">
      <w:pPr>
        <w:pStyle w:val="Header"/>
        <w:tabs>
          <w:tab w:val="clear" w:pos="4513"/>
          <w:tab w:val="clear" w:pos="9026"/>
        </w:tabs>
        <w:jc w:val="both"/>
        <w:rPr>
          <w:rFonts w:ascii="Calibri" w:hAnsi="Calibri"/>
          <w:sz w:val="22"/>
          <w:szCs w:val="22"/>
        </w:rPr>
      </w:pPr>
    </w:p>
    <w:p w:rsidR="00F843E4" w:rsidRPr="00E63AD1" w:rsidRDefault="00F843E4" w:rsidP="00E63AD1">
      <w:pPr>
        <w:pStyle w:val="Header"/>
        <w:tabs>
          <w:tab w:val="clear" w:pos="4513"/>
          <w:tab w:val="clear" w:pos="9026"/>
        </w:tabs>
        <w:jc w:val="both"/>
        <w:rPr>
          <w:rFonts w:ascii="Calibri" w:hAnsi="Calibri"/>
          <w:sz w:val="22"/>
          <w:szCs w:val="22"/>
        </w:rPr>
      </w:pPr>
      <w:r w:rsidRPr="00E63AD1">
        <w:rPr>
          <w:rFonts w:asciiTheme="minorHAnsi" w:hAnsiTheme="minorHAnsi" w:cstheme="minorHAnsi"/>
          <w:b/>
          <w:color w:val="403152" w:themeColor="accent4" w:themeShade="80"/>
          <w:sz w:val="22"/>
          <w:szCs w:val="22"/>
        </w:rPr>
        <w:t xml:space="preserve">Sites and Housing Plan Policy HP4 </w:t>
      </w:r>
      <w:r w:rsidR="000D0B65" w:rsidRPr="00E63AD1">
        <w:rPr>
          <w:rFonts w:asciiTheme="minorHAnsi" w:hAnsiTheme="minorHAnsi" w:cstheme="minorHAnsi"/>
          <w:color w:val="403152" w:themeColor="accent4" w:themeShade="80"/>
          <w:sz w:val="22"/>
          <w:szCs w:val="22"/>
        </w:rPr>
        <w:t xml:space="preserve">– Affordable Homes </w:t>
      </w:r>
      <w:r w:rsidR="00616EDA" w:rsidRPr="00E63AD1">
        <w:rPr>
          <w:rFonts w:asciiTheme="minorHAnsi" w:hAnsiTheme="minorHAnsi" w:cstheme="minorHAnsi"/>
          <w:color w:val="403152" w:themeColor="accent4" w:themeShade="80"/>
          <w:sz w:val="22"/>
          <w:szCs w:val="22"/>
        </w:rPr>
        <w:t>from</w:t>
      </w:r>
      <w:r w:rsidR="000D0B65" w:rsidRPr="00E63AD1">
        <w:rPr>
          <w:rFonts w:asciiTheme="minorHAnsi" w:hAnsiTheme="minorHAnsi" w:cstheme="minorHAnsi"/>
          <w:color w:val="403152" w:themeColor="accent4" w:themeShade="80"/>
          <w:sz w:val="22"/>
          <w:szCs w:val="22"/>
        </w:rPr>
        <w:t xml:space="preserve"> Small Housing Sites</w:t>
      </w:r>
    </w:p>
    <w:p w:rsidR="00E63AD1" w:rsidRDefault="00E63AD1" w:rsidP="00E63AD1">
      <w:pPr>
        <w:pStyle w:val="ListParagraph"/>
        <w:rPr>
          <w:rFonts w:ascii="Calibri" w:hAnsi="Calibri"/>
          <w:sz w:val="22"/>
          <w:szCs w:val="22"/>
        </w:rPr>
      </w:pPr>
    </w:p>
    <w:p w:rsidR="00B05DCB" w:rsidRPr="00E63AD1" w:rsidRDefault="00F843E4"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 xml:space="preserve">The </w:t>
      </w:r>
      <w:r w:rsidR="000D0B65" w:rsidRPr="00E63AD1">
        <w:rPr>
          <w:rFonts w:asciiTheme="minorHAnsi" w:hAnsiTheme="minorHAnsi" w:cstheme="minorHAnsi"/>
          <w:sz w:val="22"/>
          <w:szCs w:val="22"/>
        </w:rPr>
        <w:t>Sites and Housing Plan was adopted</w:t>
      </w:r>
      <w:r w:rsidR="00616EDA" w:rsidRPr="00E63AD1">
        <w:rPr>
          <w:rFonts w:asciiTheme="minorHAnsi" w:hAnsiTheme="minorHAnsi" w:cstheme="minorHAnsi"/>
          <w:sz w:val="22"/>
          <w:szCs w:val="22"/>
        </w:rPr>
        <w:t xml:space="preserve"> towards</w:t>
      </w:r>
      <w:r w:rsidR="000D0B65" w:rsidRPr="00E63AD1">
        <w:rPr>
          <w:rFonts w:asciiTheme="minorHAnsi" w:hAnsiTheme="minorHAnsi" w:cstheme="minorHAnsi"/>
          <w:sz w:val="22"/>
          <w:szCs w:val="22"/>
        </w:rPr>
        <w:t xml:space="preserve"> the end of the previous monitoring year, so we are just beginning to see these policies being applied and tested by Inspectors at appeal. </w:t>
      </w:r>
      <w:r w:rsidR="00616EDA" w:rsidRPr="00E63AD1">
        <w:rPr>
          <w:rFonts w:asciiTheme="minorHAnsi" w:hAnsiTheme="minorHAnsi" w:cstheme="minorHAnsi"/>
          <w:sz w:val="22"/>
          <w:szCs w:val="22"/>
        </w:rPr>
        <w:t xml:space="preserve">Policy HP4 of this </w:t>
      </w:r>
      <w:r w:rsidR="000D0B65" w:rsidRPr="00E63AD1">
        <w:rPr>
          <w:rFonts w:asciiTheme="minorHAnsi" w:hAnsiTheme="minorHAnsi" w:cstheme="minorHAnsi"/>
          <w:sz w:val="22"/>
          <w:szCs w:val="22"/>
        </w:rPr>
        <w:t>Plan</w:t>
      </w:r>
      <w:r w:rsidR="00616EDA" w:rsidRPr="00E63AD1">
        <w:rPr>
          <w:rFonts w:asciiTheme="minorHAnsi" w:hAnsiTheme="minorHAnsi" w:cstheme="minorHAnsi"/>
          <w:sz w:val="22"/>
          <w:szCs w:val="22"/>
        </w:rPr>
        <w:t xml:space="preserve"> requires a financial contribution towards deliveri</w:t>
      </w:r>
      <w:r w:rsidR="00654AEB">
        <w:rPr>
          <w:rFonts w:asciiTheme="minorHAnsi" w:hAnsiTheme="minorHAnsi" w:cstheme="minorHAnsi"/>
          <w:sz w:val="22"/>
          <w:szCs w:val="22"/>
        </w:rPr>
        <w:t xml:space="preserve">ng affordable housing </w:t>
      </w:r>
      <w:r w:rsidR="00616EDA" w:rsidRPr="00E63AD1">
        <w:rPr>
          <w:rFonts w:asciiTheme="minorHAnsi" w:hAnsiTheme="minorHAnsi" w:cstheme="minorHAnsi"/>
          <w:sz w:val="22"/>
          <w:szCs w:val="22"/>
        </w:rPr>
        <w:t xml:space="preserve">in Oxford from small housing sites with the capacity for 4-9 dwellings. </w:t>
      </w:r>
      <w:r w:rsidR="0064646A">
        <w:rPr>
          <w:rFonts w:asciiTheme="minorHAnsi" w:hAnsiTheme="minorHAnsi" w:cstheme="minorHAnsi"/>
          <w:sz w:val="22"/>
          <w:szCs w:val="22"/>
        </w:rPr>
        <w:t xml:space="preserve"> Inspectors commented on P</w:t>
      </w:r>
      <w:r w:rsidR="00B05DCB" w:rsidRPr="00E63AD1">
        <w:rPr>
          <w:rFonts w:asciiTheme="minorHAnsi" w:hAnsiTheme="minorHAnsi" w:cstheme="minorHAnsi"/>
          <w:sz w:val="22"/>
          <w:szCs w:val="22"/>
        </w:rPr>
        <w:t>olicy HP4 in three appeals:</w:t>
      </w:r>
    </w:p>
    <w:p w:rsidR="00B05DCB" w:rsidRDefault="00B05DCB" w:rsidP="00F843E4">
      <w:pPr>
        <w:rPr>
          <w:rFonts w:asciiTheme="minorHAnsi" w:hAnsiTheme="minorHAnsi" w:cstheme="minorHAnsi"/>
          <w:sz w:val="22"/>
          <w:szCs w:val="22"/>
        </w:rPr>
      </w:pPr>
    </w:p>
    <w:p w:rsidR="00B05DCB" w:rsidRPr="00ED694F" w:rsidRDefault="00E92A7D" w:rsidP="00ED694F">
      <w:pPr>
        <w:pStyle w:val="ListParagraph"/>
        <w:numPr>
          <w:ilvl w:val="0"/>
          <w:numId w:val="11"/>
        </w:numPr>
        <w:ind w:left="567"/>
        <w:rPr>
          <w:rFonts w:asciiTheme="minorHAnsi" w:hAnsiTheme="minorHAnsi" w:cstheme="minorHAnsi"/>
          <w:i/>
          <w:sz w:val="22"/>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89312" behindDoc="0" locked="0" layoutInCell="1" allowOverlap="1" wp14:anchorId="77C6261F" wp14:editId="07B1605C">
                <wp:simplePos x="0" y="0"/>
                <wp:positionH relativeFrom="column">
                  <wp:posOffset>3838575</wp:posOffset>
                </wp:positionH>
                <wp:positionV relativeFrom="paragraph">
                  <wp:posOffset>-578485</wp:posOffset>
                </wp:positionV>
                <wp:extent cx="2122805" cy="352425"/>
                <wp:effectExtent l="0" t="0" r="0" b="9525"/>
                <wp:wrapNone/>
                <wp:docPr id="103" name="Text Box 103"/>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 o:spid="_x0000_s1086" type="#_x0000_t202" style="position:absolute;left:0;text-align:left;margin-left:302.25pt;margin-top:-45.55pt;width:167.15pt;height:27.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B05DCB" w:rsidRPr="00EE6691">
        <w:rPr>
          <w:rFonts w:asciiTheme="minorHAnsi" w:hAnsiTheme="minorHAnsi" w:cstheme="minorHAnsi"/>
          <w:i/>
          <w:sz w:val="22"/>
          <w:szCs w:val="22"/>
        </w:rPr>
        <w:t xml:space="preserve">Application reference: </w:t>
      </w:r>
      <w:r w:rsidR="00F843E4" w:rsidRPr="00EE6691">
        <w:rPr>
          <w:rFonts w:asciiTheme="minorHAnsi" w:hAnsiTheme="minorHAnsi" w:cstheme="minorHAnsi"/>
          <w:i/>
          <w:sz w:val="22"/>
          <w:szCs w:val="22"/>
        </w:rPr>
        <w:t>12/02821/FUL</w:t>
      </w:r>
      <w:r w:rsidR="00B05DCB" w:rsidRPr="00EE6691">
        <w:rPr>
          <w:rFonts w:asciiTheme="minorHAnsi" w:hAnsiTheme="minorHAnsi" w:cstheme="minorHAnsi"/>
          <w:i/>
          <w:sz w:val="22"/>
          <w:szCs w:val="22"/>
        </w:rPr>
        <w:t xml:space="preserve"> (66 Cricket Road, OX4 3DQ)</w:t>
      </w:r>
      <w:r w:rsidR="00ED694F">
        <w:rPr>
          <w:rFonts w:asciiTheme="minorHAnsi" w:hAnsiTheme="minorHAnsi" w:cstheme="minorHAnsi"/>
          <w:i/>
          <w:sz w:val="22"/>
          <w:szCs w:val="22"/>
        </w:rPr>
        <w:t xml:space="preserve"> </w:t>
      </w:r>
      <w:r w:rsidR="00ED694F" w:rsidRPr="00ED694F">
        <w:rPr>
          <w:rFonts w:asciiTheme="minorHAnsi" w:hAnsiTheme="minorHAnsi" w:cstheme="minorHAnsi"/>
          <w:i/>
          <w:sz w:val="22"/>
          <w:szCs w:val="22"/>
        </w:rPr>
        <w:t>APPEAL DISMISSED</w:t>
      </w:r>
    </w:p>
    <w:p w:rsidR="00654AEB" w:rsidRDefault="00CC7349" w:rsidP="00BD1421">
      <w:pPr>
        <w:pStyle w:val="ListParagraph"/>
        <w:ind w:left="567"/>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This application was for the erection of a detached bungalow </w:t>
      </w:r>
      <w:r w:rsidR="00654AEB">
        <w:rPr>
          <w:rFonts w:ascii="Calibri" w:eastAsia="Times New Roman" w:hAnsi="Calibri" w:cs="Calibri"/>
          <w:color w:val="000000"/>
          <w:sz w:val="22"/>
          <w:szCs w:val="22"/>
          <w:lang w:eastAsia="en-GB"/>
        </w:rPr>
        <w:t>within the rear</w:t>
      </w:r>
      <w:r>
        <w:rPr>
          <w:rFonts w:ascii="Calibri" w:eastAsia="Times New Roman" w:hAnsi="Calibri" w:cs="Calibri"/>
          <w:color w:val="000000"/>
          <w:sz w:val="22"/>
          <w:szCs w:val="22"/>
          <w:lang w:eastAsia="en-GB"/>
        </w:rPr>
        <w:t xml:space="preserve"> garden of an existing dwelling. Permission had previously been granted in 2012 for a detached building towards the front of the site to provide two flats. The Inspector agreed with the City Council that if </w:t>
      </w:r>
      <w:r w:rsidR="00616EDA" w:rsidRPr="00B05DCB">
        <w:rPr>
          <w:rFonts w:ascii="Calibri" w:eastAsia="Times New Roman" w:hAnsi="Calibri" w:cs="Calibri"/>
          <w:color w:val="000000"/>
          <w:sz w:val="22"/>
          <w:szCs w:val="22"/>
          <w:lang w:eastAsia="en-GB"/>
        </w:rPr>
        <w:t>planning permission were g</w:t>
      </w:r>
      <w:r>
        <w:rPr>
          <w:rFonts w:ascii="Calibri" w:eastAsia="Times New Roman" w:hAnsi="Calibri" w:cs="Calibri"/>
          <w:color w:val="000000"/>
          <w:sz w:val="22"/>
          <w:szCs w:val="22"/>
          <w:lang w:eastAsia="en-GB"/>
        </w:rPr>
        <w:t>ranted</w:t>
      </w:r>
      <w:r w:rsidR="00616EDA" w:rsidRPr="00B05DCB">
        <w:rPr>
          <w:rFonts w:ascii="Calibri" w:eastAsia="Times New Roman" w:hAnsi="Calibri" w:cs="Calibri"/>
          <w:color w:val="000000"/>
          <w:sz w:val="22"/>
          <w:szCs w:val="22"/>
          <w:lang w:eastAsia="en-GB"/>
        </w:rPr>
        <w:t xml:space="preserve"> for the bungalow, together with the </w:t>
      </w:r>
      <w:r>
        <w:rPr>
          <w:rFonts w:ascii="Calibri" w:eastAsia="Times New Roman" w:hAnsi="Calibri" w:cs="Calibri"/>
          <w:color w:val="000000"/>
          <w:sz w:val="22"/>
          <w:szCs w:val="22"/>
          <w:lang w:eastAsia="en-GB"/>
        </w:rPr>
        <w:t xml:space="preserve">extant </w:t>
      </w:r>
      <w:r w:rsidR="00616EDA" w:rsidRPr="00B05DCB">
        <w:rPr>
          <w:rFonts w:ascii="Calibri" w:eastAsia="Times New Roman" w:hAnsi="Calibri" w:cs="Calibri"/>
          <w:color w:val="000000"/>
          <w:sz w:val="22"/>
          <w:szCs w:val="22"/>
          <w:lang w:eastAsia="en-GB"/>
        </w:rPr>
        <w:t>permission for two flats, there would be capacity for three new dwellings on the site. These, together with the existing house, would make four properties in total</w:t>
      </w:r>
      <w:r>
        <w:rPr>
          <w:rFonts w:ascii="Calibri" w:eastAsia="Times New Roman" w:hAnsi="Calibri" w:cs="Calibri"/>
          <w:color w:val="000000"/>
          <w:sz w:val="22"/>
          <w:szCs w:val="22"/>
          <w:lang w:eastAsia="en-GB"/>
        </w:rPr>
        <w:t xml:space="preserve"> meaning that a contribution towards affordable housing would be required</w:t>
      </w:r>
      <w:r w:rsidR="00616EDA" w:rsidRPr="00B05DCB">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p>
    <w:p w:rsidR="00654AEB" w:rsidRDefault="00654AEB" w:rsidP="00BD1421">
      <w:pPr>
        <w:pStyle w:val="ListParagraph"/>
        <w:ind w:left="567"/>
        <w:jc w:val="both"/>
        <w:rPr>
          <w:rFonts w:ascii="Calibri" w:eastAsia="Times New Roman" w:hAnsi="Calibri" w:cs="Calibri"/>
          <w:color w:val="000000"/>
          <w:sz w:val="22"/>
          <w:szCs w:val="22"/>
          <w:lang w:eastAsia="en-GB"/>
        </w:rPr>
      </w:pPr>
    </w:p>
    <w:p w:rsidR="007B54CF" w:rsidRPr="005B12E3" w:rsidRDefault="00CC7349" w:rsidP="005B12E3">
      <w:pPr>
        <w:pStyle w:val="ListParagraph"/>
        <w:ind w:left="567"/>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appellant </w:t>
      </w:r>
      <w:r w:rsidR="00654AEB">
        <w:rPr>
          <w:rFonts w:ascii="Calibri" w:eastAsia="Times New Roman" w:hAnsi="Calibri" w:cs="Calibri"/>
          <w:color w:val="000000"/>
          <w:sz w:val="22"/>
          <w:szCs w:val="22"/>
          <w:lang w:eastAsia="en-GB"/>
        </w:rPr>
        <w:t>highlighted a similar case</w:t>
      </w:r>
      <w:r w:rsidR="00616EDA" w:rsidRPr="00CC7349">
        <w:rPr>
          <w:rFonts w:ascii="Calibri" w:eastAsia="Times New Roman" w:hAnsi="Calibri" w:cs="Calibri"/>
          <w:color w:val="000000"/>
          <w:sz w:val="22"/>
          <w:szCs w:val="22"/>
          <w:lang w:eastAsia="en-GB"/>
        </w:rPr>
        <w:t xml:space="preserve"> at 110 Oliver Road,</w:t>
      </w:r>
      <w:r>
        <w:rPr>
          <w:rFonts w:ascii="Calibri" w:eastAsia="Times New Roman" w:hAnsi="Calibri" w:cs="Calibri"/>
          <w:color w:val="000000"/>
          <w:sz w:val="22"/>
          <w:szCs w:val="22"/>
          <w:lang w:eastAsia="en-GB"/>
        </w:rPr>
        <w:t xml:space="preserve"> where</w:t>
      </w:r>
      <w:r w:rsidR="00616EDA" w:rsidRPr="00CC7349">
        <w:rPr>
          <w:rFonts w:ascii="Calibri" w:eastAsia="Times New Roman" w:hAnsi="Calibri" w:cs="Calibri"/>
          <w:color w:val="000000"/>
          <w:sz w:val="22"/>
          <w:szCs w:val="22"/>
          <w:lang w:eastAsia="en-GB"/>
        </w:rPr>
        <w:t xml:space="preserve"> </w:t>
      </w:r>
      <w:r w:rsidR="00654AEB">
        <w:rPr>
          <w:rFonts w:ascii="Calibri" w:eastAsia="Times New Roman" w:hAnsi="Calibri" w:cs="Calibri"/>
          <w:color w:val="000000"/>
          <w:sz w:val="22"/>
          <w:szCs w:val="22"/>
          <w:lang w:eastAsia="en-GB"/>
        </w:rPr>
        <w:t>three new dwellings were proposed within the garden of an existing house. In that case a financial contribution was not required</w:t>
      </w:r>
      <w:r w:rsidR="00616EDA" w:rsidRPr="00CC7349">
        <w:rPr>
          <w:rFonts w:ascii="Calibri" w:eastAsia="Times New Roman" w:hAnsi="Calibri" w:cs="Calibri"/>
          <w:color w:val="000000"/>
          <w:sz w:val="22"/>
          <w:szCs w:val="22"/>
          <w:lang w:eastAsia="en-GB"/>
        </w:rPr>
        <w:t xml:space="preserve"> because there were no changes or alte</w:t>
      </w:r>
      <w:r w:rsidR="00654AEB">
        <w:rPr>
          <w:rFonts w:ascii="Calibri" w:eastAsia="Times New Roman" w:hAnsi="Calibri" w:cs="Calibri"/>
          <w:color w:val="000000"/>
          <w:sz w:val="22"/>
          <w:szCs w:val="22"/>
          <w:lang w:eastAsia="en-GB"/>
        </w:rPr>
        <w:t>rations to the existing</w:t>
      </w:r>
      <w:r w:rsidR="00616EDA" w:rsidRPr="00CC7349">
        <w:rPr>
          <w:rFonts w:ascii="Calibri" w:eastAsia="Times New Roman" w:hAnsi="Calibri" w:cs="Calibri"/>
          <w:color w:val="000000"/>
          <w:sz w:val="22"/>
          <w:szCs w:val="22"/>
          <w:lang w:eastAsia="en-GB"/>
        </w:rPr>
        <w:t xml:space="preserve"> property</w:t>
      </w:r>
      <w:r w:rsidR="005B12E3">
        <w:rPr>
          <w:rFonts w:ascii="Calibri" w:eastAsia="Times New Roman" w:hAnsi="Calibri" w:cs="Calibri"/>
          <w:color w:val="000000"/>
          <w:sz w:val="22"/>
          <w:szCs w:val="22"/>
          <w:lang w:eastAsia="en-GB"/>
        </w:rPr>
        <w:t xml:space="preserve">. </w:t>
      </w:r>
      <w:r w:rsidR="00654AEB" w:rsidRPr="005B12E3">
        <w:rPr>
          <w:rFonts w:ascii="Calibri" w:eastAsia="Times New Roman" w:hAnsi="Calibri" w:cs="Calibri"/>
          <w:color w:val="000000"/>
          <w:sz w:val="22"/>
          <w:szCs w:val="22"/>
          <w:lang w:eastAsia="en-GB"/>
        </w:rPr>
        <w:t xml:space="preserve">As the existing house at 66 Cricket Road would require alterations </w:t>
      </w:r>
      <w:r w:rsidR="00616EDA" w:rsidRPr="005B12E3">
        <w:rPr>
          <w:rFonts w:ascii="Calibri" w:eastAsia="Times New Roman" w:hAnsi="Calibri" w:cs="Calibri"/>
          <w:color w:val="000000"/>
          <w:sz w:val="22"/>
          <w:szCs w:val="22"/>
          <w:lang w:eastAsia="en-GB"/>
        </w:rPr>
        <w:t>to accommodat</w:t>
      </w:r>
      <w:r w:rsidR="00654AEB" w:rsidRPr="005B12E3">
        <w:rPr>
          <w:rFonts w:ascii="Calibri" w:eastAsia="Times New Roman" w:hAnsi="Calibri" w:cs="Calibri"/>
          <w:color w:val="000000"/>
          <w:sz w:val="22"/>
          <w:szCs w:val="22"/>
          <w:lang w:eastAsia="en-GB"/>
        </w:rPr>
        <w:t xml:space="preserve">e the building of the two flats, the Inspector considered that it was different to the case at </w:t>
      </w:r>
      <w:r w:rsidR="00ED3048" w:rsidRPr="005B12E3">
        <w:rPr>
          <w:rFonts w:ascii="Calibri" w:eastAsia="Times New Roman" w:hAnsi="Calibri" w:cs="Calibri"/>
          <w:color w:val="000000"/>
          <w:sz w:val="22"/>
          <w:szCs w:val="22"/>
          <w:lang w:eastAsia="en-GB"/>
        </w:rPr>
        <w:t>Oliver Road and</w:t>
      </w:r>
      <w:r w:rsidRPr="005B12E3">
        <w:rPr>
          <w:rFonts w:ascii="Calibri" w:eastAsia="Times New Roman" w:hAnsi="Calibri" w:cs="Calibri"/>
          <w:color w:val="000000"/>
          <w:sz w:val="22"/>
          <w:szCs w:val="22"/>
          <w:lang w:eastAsia="en-GB"/>
        </w:rPr>
        <w:t xml:space="preserve"> </w:t>
      </w:r>
      <w:r w:rsidR="005B12E3">
        <w:rPr>
          <w:rFonts w:ascii="Calibri" w:eastAsia="Times New Roman" w:hAnsi="Calibri" w:cs="Calibri"/>
          <w:color w:val="000000"/>
          <w:sz w:val="22"/>
          <w:szCs w:val="22"/>
          <w:lang w:eastAsia="en-GB"/>
        </w:rPr>
        <w:t xml:space="preserve">that </w:t>
      </w:r>
      <w:r w:rsidR="00616EDA" w:rsidRPr="005B12E3">
        <w:rPr>
          <w:rFonts w:ascii="Calibri" w:eastAsia="Times New Roman" w:hAnsi="Calibri" w:cs="Calibri"/>
          <w:color w:val="000000"/>
          <w:sz w:val="22"/>
          <w:szCs w:val="22"/>
          <w:lang w:eastAsia="en-GB"/>
        </w:rPr>
        <w:t>a contribution to</w:t>
      </w:r>
      <w:r w:rsidR="005B12E3">
        <w:rPr>
          <w:rFonts w:ascii="Calibri" w:eastAsia="Times New Roman" w:hAnsi="Calibri" w:cs="Calibri"/>
          <w:color w:val="000000"/>
          <w:sz w:val="22"/>
          <w:szCs w:val="22"/>
          <w:lang w:eastAsia="en-GB"/>
        </w:rPr>
        <w:t>wards</w:t>
      </w:r>
      <w:r w:rsidR="00616EDA" w:rsidRPr="005B12E3">
        <w:rPr>
          <w:rFonts w:ascii="Calibri" w:eastAsia="Times New Roman" w:hAnsi="Calibri" w:cs="Calibri"/>
          <w:color w:val="000000"/>
          <w:sz w:val="22"/>
          <w:szCs w:val="22"/>
          <w:lang w:eastAsia="en-GB"/>
        </w:rPr>
        <w:t xml:space="preserve"> the supply of affordable housing would be fairly and reasonably related to the development proposed.</w:t>
      </w:r>
    </w:p>
    <w:p w:rsidR="004E3A40" w:rsidRPr="00E63AD1" w:rsidRDefault="004E3A40" w:rsidP="00E63AD1">
      <w:pPr>
        <w:pStyle w:val="ListParagraph"/>
        <w:ind w:left="567"/>
        <w:rPr>
          <w:rFonts w:ascii="Calibri" w:eastAsia="Times New Roman" w:hAnsi="Calibri" w:cs="Calibri"/>
          <w:color w:val="000000"/>
          <w:sz w:val="22"/>
          <w:szCs w:val="22"/>
          <w:lang w:eastAsia="en-GB"/>
        </w:rPr>
      </w:pPr>
    </w:p>
    <w:p w:rsidR="00ED694F" w:rsidRPr="00ED694F" w:rsidRDefault="00CC7349" w:rsidP="004335B5">
      <w:pPr>
        <w:pStyle w:val="ListParagraph"/>
        <w:numPr>
          <w:ilvl w:val="0"/>
          <w:numId w:val="11"/>
        </w:numPr>
        <w:ind w:left="567"/>
        <w:rPr>
          <w:rFonts w:ascii="Calibri" w:eastAsia="Times New Roman" w:hAnsi="Calibri" w:cs="Calibri"/>
          <w:i/>
          <w:color w:val="000000"/>
          <w:sz w:val="22"/>
          <w:szCs w:val="22"/>
          <w:lang w:eastAsia="en-GB"/>
        </w:rPr>
      </w:pPr>
      <w:r w:rsidRPr="00EE6691">
        <w:rPr>
          <w:rFonts w:ascii="Calibri" w:eastAsia="Times New Roman" w:hAnsi="Calibri" w:cs="Calibri"/>
          <w:i/>
          <w:color w:val="000000"/>
          <w:sz w:val="22"/>
          <w:szCs w:val="22"/>
          <w:lang w:eastAsia="en-GB"/>
        </w:rPr>
        <w:t xml:space="preserve">Application reference:  </w:t>
      </w:r>
      <w:r w:rsidRPr="00EE6691">
        <w:rPr>
          <w:rFonts w:asciiTheme="minorHAnsi" w:hAnsiTheme="minorHAnsi" w:cstheme="minorHAnsi"/>
          <w:i/>
          <w:sz w:val="22"/>
          <w:szCs w:val="22"/>
        </w:rPr>
        <w:t>13/00036/FUL (</w:t>
      </w:r>
      <w:r w:rsidR="00F843E4" w:rsidRPr="00EE6691">
        <w:rPr>
          <w:rFonts w:asciiTheme="minorHAnsi" w:hAnsiTheme="minorHAnsi" w:cstheme="minorHAnsi"/>
          <w:i/>
          <w:sz w:val="22"/>
          <w:szCs w:val="22"/>
        </w:rPr>
        <w:t>Land Rear Of 2-14 Jack Straws Lane</w:t>
      </w:r>
      <w:r w:rsidR="00ED694F">
        <w:rPr>
          <w:rFonts w:asciiTheme="minorHAnsi" w:hAnsiTheme="minorHAnsi" w:cstheme="minorHAnsi"/>
          <w:i/>
          <w:sz w:val="22"/>
          <w:szCs w:val="22"/>
        </w:rPr>
        <w:t xml:space="preserve">, OX3 0DL) </w:t>
      </w:r>
    </w:p>
    <w:p w:rsidR="00E4174B" w:rsidRPr="00EE6691" w:rsidRDefault="00ED694F" w:rsidP="00ED694F">
      <w:pPr>
        <w:pStyle w:val="ListParagraph"/>
        <w:ind w:left="567"/>
        <w:rPr>
          <w:rFonts w:ascii="Calibri" w:eastAsia="Times New Roman" w:hAnsi="Calibri" w:cs="Calibri"/>
          <w:i/>
          <w:color w:val="000000"/>
          <w:sz w:val="22"/>
          <w:szCs w:val="22"/>
          <w:lang w:eastAsia="en-GB"/>
        </w:rPr>
      </w:pPr>
      <w:r>
        <w:rPr>
          <w:rFonts w:asciiTheme="minorHAnsi" w:hAnsiTheme="minorHAnsi" w:cstheme="minorHAnsi"/>
          <w:i/>
          <w:sz w:val="22"/>
          <w:szCs w:val="22"/>
        </w:rPr>
        <w:t>APPEAL DISMISSED</w:t>
      </w:r>
    </w:p>
    <w:p w:rsidR="00CC7349" w:rsidRPr="00E4174B" w:rsidRDefault="00E4174B" w:rsidP="00BD1421">
      <w:pPr>
        <w:pStyle w:val="ListParagraph"/>
        <w:ind w:left="567"/>
        <w:jc w:val="both"/>
        <w:rPr>
          <w:rFonts w:ascii="Calibri" w:eastAsia="Times New Roman" w:hAnsi="Calibri" w:cs="Calibri"/>
          <w:color w:val="000000"/>
          <w:sz w:val="22"/>
          <w:szCs w:val="22"/>
          <w:lang w:eastAsia="en-GB"/>
        </w:rPr>
      </w:pPr>
      <w:r>
        <w:rPr>
          <w:rFonts w:asciiTheme="minorHAnsi" w:hAnsiTheme="minorHAnsi" w:cstheme="minorHAnsi"/>
          <w:sz w:val="22"/>
          <w:szCs w:val="22"/>
        </w:rPr>
        <w:t xml:space="preserve">The Inspector commented that Policy HP4 is clear in its requirements but that they were provided with no evidence to support the City Council’s assertion that the site could reasonably accommodate four or more dwellings, leading the Inspector to conclude that a financial contribution </w:t>
      </w:r>
      <w:r w:rsidR="00ED3048">
        <w:rPr>
          <w:rFonts w:asciiTheme="minorHAnsi" w:hAnsiTheme="minorHAnsi" w:cstheme="minorHAnsi"/>
          <w:sz w:val="22"/>
          <w:szCs w:val="22"/>
        </w:rPr>
        <w:t xml:space="preserve">towards affordable housing </w:t>
      </w:r>
      <w:r>
        <w:rPr>
          <w:rFonts w:asciiTheme="minorHAnsi" w:hAnsiTheme="minorHAnsi" w:cstheme="minorHAnsi"/>
          <w:sz w:val="22"/>
          <w:szCs w:val="22"/>
        </w:rPr>
        <w:t>would not be required</w:t>
      </w:r>
      <w:r w:rsidR="005B12E3">
        <w:rPr>
          <w:rFonts w:asciiTheme="minorHAnsi" w:hAnsiTheme="minorHAnsi" w:cstheme="minorHAnsi"/>
          <w:sz w:val="22"/>
          <w:szCs w:val="22"/>
        </w:rPr>
        <w:t>.</w:t>
      </w:r>
    </w:p>
    <w:p w:rsidR="00CC7349" w:rsidRPr="00CC7349" w:rsidRDefault="00CC7349" w:rsidP="00CC7349">
      <w:pPr>
        <w:pStyle w:val="ListParagraph"/>
        <w:ind w:left="567"/>
        <w:rPr>
          <w:rFonts w:ascii="Calibri" w:eastAsia="Times New Roman" w:hAnsi="Calibri" w:cs="Calibri"/>
          <w:color w:val="000000"/>
          <w:sz w:val="22"/>
          <w:szCs w:val="22"/>
          <w:lang w:eastAsia="en-GB"/>
        </w:rPr>
      </w:pPr>
    </w:p>
    <w:p w:rsidR="00E4174B" w:rsidRPr="00ED694F" w:rsidRDefault="00E4174B" w:rsidP="004335B5">
      <w:pPr>
        <w:pStyle w:val="ListParagraph"/>
        <w:numPr>
          <w:ilvl w:val="0"/>
          <w:numId w:val="11"/>
        </w:numPr>
        <w:ind w:left="567"/>
        <w:rPr>
          <w:rFonts w:ascii="Calibri" w:eastAsia="Times New Roman" w:hAnsi="Calibri" w:cs="Calibri"/>
          <w:i/>
          <w:color w:val="000000"/>
          <w:sz w:val="22"/>
          <w:szCs w:val="22"/>
          <w:lang w:eastAsia="en-GB"/>
        </w:rPr>
      </w:pPr>
      <w:r w:rsidRPr="00EE6691">
        <w:rPr>
          <w:rFonts w:asciiTheme="minorHAnsi" w:hAnsiTheme="minorHAnsi" w:cstheme="minorHAnsi"/>
          <w:i/>
          <w:sz w:val="22"/>
          <w:szCs w:val="22"/>
        </w:rPr>
        <w:t>Application reference: 13/00906/FUL (</w:t>
      </w:r>
      <w:r w:rsidR="00F843E4" w:rsidRPr="00EE6691">
        <w:rPr>
          <w:rFonts w:asciiTheme="minorHAnsi" w:hAnsiTheme="minorHAnsi" w:cstheme="minorHAnsi"/>
          <w:i/>
          <w:sz w:val="22"/>
          <w:szCs w:val="22"/>
        </w:rPr>
        <w:t xml:space="preserve">184 &amp; 186 </w:t>
      </w:r>
      <w:proofErr w:type="spellStart"/>
      <w:r w:rsidR="00F843E4" w:rsidRPr="00EE6691">
        <w:rPr>
          <w:rFonts w:asciiTheme="minorHAnsi" w:hAnsiTheme="minorHAnsi" w:cstheme="minorHAnsi"/>
          <w:i/>
          <w:sz w:val="22"/>
          <w:szCs w:val="22"/>
        </w:rPr>
        <w:t>Headington</w:t>
      </w:r>
      <w:proofErr w:type="spellEnd"/>
      <w:r w:rsidR="00F843E4" w:rsidRPr="00EE6691">
        <w:rPr>
          <w:rFonts w:asciiTheme="minorHAnsi" w:hAnsiTheme="minorHAnsi" w:cstheme="minorHAnsi"/>
          <w:i/>
          <w:sz w:val="22"/>
          <w:szCs w:val="22"/>
        </w:rPr>
        <w:t xml:space="preserve"> Road</w:t>
      </w:r>
      <w:r w:rsidRPr="00EE6691">
        <w:rPr>
          <w:rFonts w:asciiTheme="minorHAnsi" w:hAnsiTheme="minorHAnsi" w:cstheme="minorHAnsi"/>
          <w:i/>
          <w:sz w:val="22"/>
          <w:szCs w:val="22"/>
        </w:rPr>
        <w:t>, OX3 0BS)</w:t>
      </w:r>
    </w:p>
    <w:p w:rsidR="00ED694F" w:rsidRPr="00EE6691" w:rsidRDefault="00ED694F" w:rsidP="00ED694F">
      <w:pPr>
        <w:pStyle w:val="ListParagraph"/>
        <w:ind w:left="567"/>
        <w:rPr>
          <w:rFonts w:ascii="Calibri" w:eastAsia="Times New Roman" w:hAnsi="Calibri" w:cs="Calibri"/>
          <w:i/>
          <w:color w:val="000000"/>
          <w:sz w:val="22"/>
          <w:szCs w:val="22"/>
          <w:lang w:eastAsia="en-GB"/>
        </w:rPr>
      </w:pPr>
      <w:r>
        <w:rPr>
          <w:rFonts w:asciiTheme="minorHAnsi" w:hAnsiTheme="minorHAnsi" w:cstheme="minorHAnsi"/>
          <w:i/>
          <w:sz w:val="22"/>
          <w:szCs w:val="22"/>
        </w:rPr>
        <w:t>APPEAL DISMISSED</w:t>
      </w:r>
    </w:p>
    <w:p w:rsidR="00F41495" w:rsidRDefault="00ED3048" w:rsidP="00BD1421">
      <w:pPr>
        <w:pStyle w:val="ListParagraph"/>
        <w:ind w:left="567"/>
        <w:jc w:val="both"/>
        <w:rPr>
          <w:rFonts w:asciiTheme="minorHAnsi" w:hAnsiTheme="minorHAnsi" w:cstheme="minorHAnsi"/>
          <w:sz w:val="22"/>
          <w:szCs w:val="22"/>
        </w:rPr>
      </w:pPr>
      <w:r>
        <w:rPr>
          <w:rFonts w:asciiTheme="minorHAnsi" w:hAnsiTheme="minorHAnsi" w:cstheme="minorHAnsi"/>
          <w:sz w:val="22"/>
          <w:szCs w:val="22"/>
        </w:rPr>
        <w:t>This app</w:t>
      </w:r>
      <w:r w:rsidR="005B12E3">
        <w:rPr>
          <w:rFonts w:asciiTheme="minorHAnsi" w:hAnsiTheme="minorHAnsi" w:cstheme="minorHAnsi"/>
          <w:sz w:val="22"/>
          <w:szCs w:val="22"/>
        </w:rPr>
        <w:t>lication sought to convert two adjoining</w:t>
      </w:r>
      <w:r>
        <w:rPr>
          <w:rFonts w:asciiTheme="minorHAnsi" w:hAnsiTheme="minorHAnsi" w:cstheme="minorHAnsi"/>
          <w:sz w:val="22"/>
          <w:szCs w:val="22"/>
        </w:rPr>
        <w:t xml:space="preserve"> HMOs into four flats (with each HMO being converted into two flats). </w:t>
      </w:r>
      <w:r w:rsidR="00616EDA" w:rsidRPr="00E4174B">
        <w:rPr>
          <w:rFonts w:asciiTheme="minorHAnsi" w:hAnsiTheme="minorHAnsi" w:cstheme="minorHAnsi"/>
          <w:sz w:val="22"/>
          <w:szCs w:val="22"/>
        </w:rPr>
        <w:t>The Inspector did not consider  a financial contribution necessary  under Policy HP4 as although the two properties are in the same ownership and are included in the same application</w:t>
      </w:r>
      <w:r>
        <w:rPr>
          <w:rFonts w:asciiTheme="minorHAnsi" w:hAnsiTheme="minorHAnsi" w:cstheme="minorHAnsi"/>
          <w:sz w:val="22"/>
          <w:szCs w:val="22"/>
        </w:rPr>
        <w:t>,</w:t>
      </w:r>
      <w:r w:rsidR="00616EDA" w:rsidRPr="00E4174B">
        <w:rPr>
          <w:rFonts w:asciiTheme="minorHAnsi" w:hAnsiTheme="minorHAnsi" w:cstheme="minorHAnsi"/>
          <w:sz w:val="22"/>
          <w:szCs w:val="22"/>
        </w:rPr>
        <w:t xml:space="preserve"> they coul</w:t>
      </w:r>
      <w:r>
        <w:rPr>
          <w:rFonts w:asciiTheme="minorHAnsi" w:hAnsiTheme="minorHAnsi" w:cstheme="minorHAnsi"/>
          <w:sz w:val="22"/>
          <w:szCs w:val="22"/>
        </w:rPr>
        <w:t>d be developed individually</w:t>
      </w:r>
      <w:r w:rsidR="00616EDA" w:rsidRPr="00E4174B">
        <w:rPr>
          <w:rFonts w:asciiTheme="minorHAnsi" w:hAnsiTheme="minorHAnsi" w:cstheme="minorHAnsi"/>
          <w:sz w:val="22"/>
          <w:szCs w:val="22"/>
        </w:rPr>
        <w:t xml:space="preserve"> meaning that they would fall under the three dwelling threshold of Policy HP4.</w:t>
      </w:r>
    </w:p>
    <w:p w:rsidR="003B7232" w:rsidRPr="00E4174B" w:rsidRDefault="003B7232" w:rsidP="00E4174B">
      <w:pPr>
        <w:pStyle w:val="ListParagraph"/>
        <w:ind w:left="567"/>
        <w:rPr>
          <w:rFonts w:ascii="Calibri" w:eastAsia="Times New Roman" w:hAnsi="Calibri" w:cs="Calibri"/>
          <w:color w:val="000000"/>
          <w:sz w:val="22"/>
          <w:szCs w:val="22"/>
          <w:lang w:eastAsia="en-GB"/>
        </w:rPr>
      </w:pPr>
    </w:p>
    <w:p w:rsidR="003B7232" w:rsidRPr="003B7232" w:rsidRDefault="003B7232" w:rsidP="003B7232">
      <w:pPr>
        <w:rPr>
          <w:rFonts w:asciiTheme="minorHAnsi" w:hAnsiTheme="minorHAnsi" w:cstheme="minorHAnsi"/>
          <w:b/>
          <w:color w:val="403152" w:themeColor="accent4" w:themeShade="80"/>
          <w:sz w:val="22"/>
          <w:szCs w:val="22"/>
        </w:rPr>
      </w:pPr>
      <w:r>
        <w:rPr>
          <w:rFonts w:asciiTheme="minorHAnsi" w:hAnsiTheme="minorHAnsi" w:cstheme="minorHAnsi"/>
          <w:b/>
          <w:color w:val="403152" w:themeColor="accent4" w:themeShade="80"/>
          <w:sz w:val="22"/>
          <w:szCs w:val="22"/>
        </w:rPr>
        <w:t xml:space="preserve">Saved Local Plan Policy RC4 </w:t>
      </w:r>
      <w:r w:rsidRPr="003B7232">
        <w:rPr>
          <w:rFonts w:asciiTheme="minorHAnsi" w:hAnsiTheme="minorHAnsi" w:cstheme="minorHAnsi"/>
          <w:color w:val="403152" w:themeColor="accent4" w:themeShade="80"/>
          <w:sz w:val="22"/>
          <w:szCs w:val="22"/>
        </w:rPr>
        <w:t>– District Shopping Frontage</w:t>
      </w:r>
      <w:r w:rsidR="0075073C">
        <w:rPr>
          <w:rFonts w:asciiTheme="minorHAnsi" w:hAnsiTheme="minorHAnsi" w:cstheme="minorHAnsi"/>
          <w:color w:val="403152" w:themeColor="accent4" w:themeShade="80"/>
          <w:sz w:val="22"/>
          <w:szCs w:val="22"/>
        </w:rPr>
        <w:t>s</w:t>
      </w:r>
    </w:p>
    <w:p w:rsidR="003B7232" w:rsidRPr="003B7232" w:rsidRDefault="003B7232" w:rsidP="003B7232">
      <w:pPr>
        <w:rPr>
          <w:rFonts w:asciiTheme="minorHAnsi" w:hAnsiTheme="minorHAnsi" w:cstheme="minorHAnsi"/>
          <w:sz w:val="6"/>
          <w:szCs w:val="6"/>
        </w:rPr>
      </w:pPr>
    </w:p>
    <w:p w:rsidR="003B7232" w:rsidRPr="00E63AD1" w:rsidRDefault="003B7232"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 xml:space="preserve">"In carrying out their retail surveys, the Council exclude any retail element of units with mixed or sui generis uses. This allows a consistent approach in accordance with definitions in the Use Classes Order and the drafting of LP Policy RC4. From what I can see Inspectors who have dealt with similar appeals in </w:t>
      </w:r>
      <w:proofErr w:type="spellStart"/>
      <w:r w:rsidRPr="00E63AD1">
        <w:rPr>
          <w:rFonts w:asciiTheme="minorHAnsi" w:hAnsiTheme="minorHAnsi" w:cstheme="minorHAnsi"/>
          <w:sz w:val="22"/>
          <w:szCs w:val="22"/>
        </w:rPr>
        <w:t>Headington</w:t>
      </w:r>
      <w:proofErr w:type="spellEnd"/>
      <w:r w:rsidRPr="00E63AD1">
        <w:rPr>
          <w:rFonts w:asciiTheme="minorHAnsi" w:hAnsiTheme="minorHAnsi" w:cstheme="minorHAnsi"/>
          <w:sz w:val="22"/>
          <w:szCs w:val="22"/>
        </w:rPr>
        <w:t xml:space="preserve"> have accepted this approach to the survey and I regard it as appropriate. In a previous appeal at 136 London Road the Inspector found that the threshold approach adopted by LP Policy RC4 was well founded and merited continued support and there is no evidence that this situation has changed. Policies CS1 and LP RC4 form a considered approach to the management of the different centres in Oxford, in accord with NPPF." </w:t>
      </w:r>
      <w:r w:rsidRPr="00E63AD1">
        <w:rPr>
          <w:rFonts w:asciiTheme="minorHAnsi" w:hAnsiTheme="minorHAnsi" w:cstheme="minorHAnsi"/>
          <w:i/>
          <w:sz w:val="22"/>
          <w:szCs w:val="22"/>
        </w:rPr>
        <w:t>Application reference: 13/00023/FUL (106 London Road, OX3 9AJ)</w:t>
      </w:r>
      <w:r w:rsidR="00ED694F">
        <w:rPr>
          <w:rFonts w:asciiTheme="minorHAnsi" w:hAnsiTheme="minorHAnsi" w:cstheme="minorHAnsi"/>
          <w:i/>
          <w:sz w:val="22"/>
          <w:szCs w:val="22"/>
        </w:rPr>
        <w:t xml:space="preserve"> APPEAL DISMISSED</w:t>
      </w:r>
    </w:p>
    <w:p w:rsidR="003B7232" w:rsidRDefault="003B7232" w:rsidP="000773F3">
      <w:pPr>
        <w:rPr>
          <w:rFonts w:asciiTheme="minorHAnsi" w:hAnsiTheme="minorHAnsi" w:cstheme="minorHAnsi"/>
          <w:sz w:val="22"/>
          <w:szCs w:val="22"/>
        </w:rPr>
      </w:pPr>
    </w:p>
    <w:p w:rsidR="00E4174B" w:rsidRDefault="00EE6691" w:rsidP="000773F3">
      <w:pPr>
        <w:rPr>
          <w:rFonts w:asciiTheme="minorHAnsi" w:hAnsiTheme="minorHAnsi" w:cstheme="minorHAnsi"/>
          <w:b/>
          <w:color w:val="403152" w:themeColor="accent4" w:themeShade="80"/>
          <w:sz w:val="22"/>
          <w:szCs w:val="22"/>
        </w:rPr>
      </w:pPr>
      <w:r>
        <w:rPr>
          <w:rFonts w:asciiTheme="minorHAnsi" w:hAnsiTheme="minorHAnsi" w:cstheme="minorHAnsi"/>
          <w:b/>
          <w:color w:val="403152" w:themeColor="accent4" w:themeShade="80"/>
          <w:sz w:val="22"/>
          <w:szCs w:val="22"/>
        </w:rPr>
        <w:t>Heritage Assets</w:t>
      </w:r>
    </w:p>
    <w:p w:rsidR="00EE6691" w:rsidRPr="00EE6691" w:rsidRDefault="00EE6691" w:rsidP="000773F3">
      <w:pPr>
        <w:rPr>
          <w:rFonts w:asciiTheme="minorHAnsi" w:hAnsiTheme="minorHAnsi" w:cstheme="minorHAnsi"/>
          <w:b/>
          <w:sz w:val="6"/>
          <w:szCs w:val="6"/>
        </w:rPr>
      </w:pPr>
    </w:p>
    <w:p w:rsidR="00EE6691" w:rsidRPr="00E63AD1" w:rsidRDefault="00EE6691"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In two appeals Inspectors commented that the requirements of the NPPF go be</w:t>
      </w:r>
      <w:r w:rsidR="00775C63">
        <w:rPr>
          <w:rFonts w:asciiTheme="minorHAnsi" w:hAnsiTheme="minorHAnsi" w:cstheme="minorHAnsi"/>
          <w:sz w:val="22"/>
          <w:szCs w:val="22"/>
        </w:rPr>
        <w:t>yond those set out in Oxford’s development plan d</w:t>
      </w:r>
      <w:r w:rsidRPr="00E63AD1">
        <w:rPr>
          <w:rFonts w:asciiTheme="minorHAnsi" w:hAnsiTheme="minorHAnsi" w:cstheme="minorHAnsi"/>
          <w:sz w:val="22"/>
          <w:szCs w:val="22"/>
        </w:rPr>
        <w:t>ocuments:</w:t>
      </w:r>
    </w:p>
    <w:p w:rsidR="00EE6691" w:rsidRDefault="00EE6691" w:rsidP="000773F3">
      <w:pPr>
        <w:rPr>
          <w:rFonts w:asciiTheme="minorHAnsi" w:hAnsiTheme="minorHAnsi" w:cstheme="minorHAnsi"/>
          <w:sz w:val="22"/>
          <w:szCs w:val="22"/>
        </w:rPr>
      </w:pPr>
    </w:p>
    <w:p w:rsidR="00ED694F" w:rsidRDefault="00EE6691" w:rsidP="00ED694F">
      <w:pPr>
        <w:pStyle w:val="ListParagraph"/>
        <w:numPr>
          <w:ilvl w:val="0"/>
          <w:numId w:val="11"/>
        </w:numPr>
        <w:rPr>
          <w:rFonts w:asciiTheme="minorHAnsi" w:hAnsiTheme="minorHAnsi" w:cstheme="minorHAnsi"/>
          <w:i/>
          <w:sz w:val="22"/>
          <w:szCs w:val="22"/>
        </w:rPr>
      </w:pPr>
      <w:r w:rsidRPr="00EE6691">
        <w:rPr>
          <w:rFonts w:asciiTheme="minorHAnsi" w:hAnsiTheme="minorHAnsi" w:cstheme="minorHAnsi"/>
          <w:i/>
          <w:sz w:val="22"/>
          <w:szCs w:val="22"/>
        </w:rPr>
        <w:t xml:space="preserve">Application reference: </w:t>
      </w:r>
      <w:r w:rsidR="00F41495" w:rsidRPr="00EE6691">
        <w:rPr>
          <w:rFonts w:asciiTheme="minorHAnsi" w:hAnsiTheme="minorHAnsi" w:cstheme="minorHAnsi"/>
          <w:i/>
          <w:sz w:val="22"/>
          <w:szCs w:val="22"/>
        </w:rPr>
        <w:t>12/03053/OUT</w:t>
      </w:r>
      <w:r w:rsidRPr="00EE6691">
        <w:rPr>
          <w:rFonts w:asciiTheme="minorHAnsi" w:hAnsiTheme="minorHAnsi" w:cstheme="minorHAnsi"/>
          <w:i/>
          <w:sz w:val="22"/>
          <w:szCs w:val="22"/>
        </w:rPr>
        <w:t xml:space="preserve"> (</w:t>
      </w:r>
      <w:r w:rsidR="00F41495" w:rsidRPr="00EE6691">
        <w:rPr>
          <w:rFonts w:asciiTheme="minorHAnsi" w:hAnsiTheme="minorHAnsi" w:cstheme="minorHAnsi"/>
          <w:i/>
          <w:sz w:val="22"/>
          <w:szCs w:val="22"/>
        </w:rPr>
        <w:t xml:space="preserve">Garages to the rear of 1, 3, 5, 7 &amp; 9 </w:t>
      </w:r>
      <w:proofErr w:type="spellStart"/>
      <w:r w:rsidR="00F41495" w:rsidRPr="00EE6691">
        <w:rPr>
          <w:rFonts w:asciiTheme="minorHAnsi" w:hAnsiTheme="minorHAnsi" w:cstheme="minorHAnsi"/>
          <w:i/>
          <w:sz w:val="22"/>
          <w:szCs w:val="22"/>
        </w:rPr>
        <w:t>Coppock</w:t>
      </w:r>
      <w:proofErr w:type="spellEnd"/>
      <w:r w:rsidR="00F41495" w:rsidRPr="00EE6691">
        <w:rPr>
          <w:rFonts w:asciiTheme="minorHAnsi" w:hAnsiTheme="minorHAnsi" w:cstheme="minorHAnsi"/>
          <w:i/>
          <w:sz w:val="22"/>
          <w:szCs w:val="22"/>
        </w:rPr>
        <w:t xml:space="preserve"> Close</w:t>
      </w:r>
      <w:r w:rsidRPr="00EE6691">
        <w:rPr>
          <w:rFonts w:asciiTheme="minorHAnsi" w:hAnsiTheme="minorHAnsi" w:cstheme="minorHAnsi"/>
          <w:i/>
          <w:sz w:val="22"/>
          <w:szCs w:val="22"/>
        </w:rPr>
        <w:t>)</w:t>
      </w:r>
      <w:r w:rsidR="00ED694F">
        <w:rPr>
          <w:rFonts w:asciiTheme="minorHAnsi" w:hAnsiTheme="minorHAnsi" w:cstheme="minorHAnsi"/>
          <w:i/>
          <w:sz w:val="22"/>
          <w:szCs w:val="22"/>
        </w:rPr>
        <w:t xml:space="preserve"> APPEAL DISMISSED. </w:t>
      </w:r>
    </w:p>
    <w:p w:rsidR="00ED694F" w:rsidRPr="00ED694F" w:rsidRDefault="00EE6691" w:rsidP="00ED694F">
      <w:pPr>
        <w:pStyle w:val="ListParagraph"/>
        <w:ind w:left="765"/>
        <w:rPr>
          <w:rFonts w:asciiTheme="minorHAnsi" w:hAnsiTheme="minorHAnsi" w:cstheme="minorHAnsi"/>
          <w:i/>
          <w:sz w:val="22"/>
          <w:szCs w:val="22"/>
        </w:rPr>
      </w:pPr>
      <w:r w:rsidRPr="00ED694F">
        <w:rPr>
          <w:rFonts w:asciiTheme="minorHAnsi" w:hAnsiTheme="minorHAnsi" w:cstheme="minorHAnsi"/>
          <w:sz w:val="22"/>
          <w:szCs w:val="22"/>
        </w:rPr>
        <w:t>The Inspector highlighted</w:t>
      </w:r>
      <w:r w:rsidR="00F41495" w:rsidRPr="00ED694F">
        <w:rPr>
          <w:rFonts w:asciiTheme="minorHAnsi" w:hAnsiTheme="minorHAnsi" w:cstheme="minorHAnsi"/>
          <w:sz w:val="22"/>
          <w:szCs w:val="22"/>
        </w:rPr>
        <w:t xml:space="preserve"> the need to weigh harm to the conservation area against the public benefits of development </w:t>
      </w:r>
      <w:r w:rsidR="00B53D48" w:rsidRPr="00ED694F">
        <w:rPr>
          <w:rFonts w:asciiTheme="minorHAnsi" w:hAnsiTheme="minorHAnsi" w:cstheme="minorHAnsi"/>
          <w:sz w:val="22"/>
          <w:szCs w:val="22"/>
        </w:rPr>
        <w:t>(p</w:t>
      </w:r>
      <w:r w:rsidRPr="00ED694F">
        <w:rPr>
          <w:rFonts w:asciiTheme="minorHAnsi" w:hAnsiTheme="minorHAnsi" w:cstheme="minorHAnsi"/>
          <w:sz w:val="22"/>
          <w:szCs w:val="22"/>
        </w:rPr>
        <w:t>aragraphs 132 and 133 of the NPPF).</w:t>
      </w:r>
    </w:p>
    <w:p w:rsidR="00F41495" w:rsidRDefault="00ED694F" w:rsidP="004335B5">
      <w:pPr>
        <w:pStyle w:val="ListParagraph"/>
        <w:numPr>
          <w:ilvl w:val="0"/>
          <w:numId w:val="11"/>
        </w:numPr>
        <w:rPr>
          <w:rFonts w:asciiTheme="minorHAnsi" w:hAnsiTheme="minorHAnsi" w:cstheme="minorHAnsi"/>
          <w:i/>
          <w:sz w:val="22"/>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91360" behindDoc="0" locked="0" layoutInCell="1" allowOverlap="1" wp14:anchorId="3ACA6EE2" wp14:editId="030C9631">
                <wp:simplePos x="0" y="0"/>
                <wp:positionH relativeFrom="column">
                  <wp:posOffset>3810000</wp:posOffset>
                </wp:positionH>
                <wp:positionV relativeFrom="paragraph">
                  <wp:posOffset>-600710</wp:posOffset>
                </wp:positionV>
                <wp:extent cx="2122805" cy="352425"/>
                <wp:effectExtent l="0" t="0" r="0" b="9525"/>
                <wp:wrapNone/>
                <wp:docPr id="104" name="Text Box 104"/>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 o:spid="_x0000_s1087" type="#_x0000_t202" style="position:absolute;left:0;text-align:left;margin-left:300pt;margin-top:-47.3pt;width:167.15pt;height:27.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EE6691" w:rsidRPr="00EE6691">
        <w:rPr>
          <w:rFonts w:asciiTheme="minorHAnsi" w:hAnsiTheme="minorHAnsi" w:cstheme="minorHAnsi"/>
          <w:i/>
          <w:sz w:val="22"/>
          <w:szCs w:val="22"/>
        </w:rPr>
        <w:t xml:space="preserve">Application reference: </w:t>
      </w:r>
      <w:r w:rsidR="00F41495" w:rsidRPr="00EE6691">
        <w:rPr>
          <w:rFonts w:asciiTheme="minorHAnsi" w:hAnsiTheme="minorHAnsi" w:cstheme="minorHAnsi"/>
          <w:i/>
          <w:sz w:val="22"/>
          <w:szCs w:val="22"/>
        </w:rPr>
        <w:t>13/00640/FUL</w:t>
      </w:r>
      <w:r w:rsidR="00EE6691" w:rsidRPr="00EE6691">
        <w:rPr>
          <w:rFonts w:asciiTheme="minorHAnsi" w:hAnsiTheme="minorHAnsi" w:cstheme="minorHAnsi"/>
          <w:i/>
          <w:sz w:val="22"/>
          <w:szCs w:val="22"/>
        </w:rPr>
        <w:t xml:space="preserve"> (</w:t>
      </w:r>
      <w:r w:rsidR="00F41495" w:rsidRPr="00EE6691">
        <w:rPr>
          <w:rFonts w:asciiTheme="minorHAnsi" w:hAnsiTheme="minorHAnsi" w:cstheme="minorHAnsi"/>
          <w:i/>
          <w:sz w:val="22"/>
          <w:szCs w:val="22"/>
        </w:rPr>
        <w:t>38 St Bernard's Road</w:t>
      </w:r>
      <w:r w:rsidR="00EE6691" w:rsidRPr="00EE6691">
        <w:rPr>
          <w:rFonts w:asciiTheme="minorHAnsi" w:hAnsiTheme="minorHAnsi" w:cstheme="minorHAnsi"/>
          <w:i/>
          <w:sz w:val="22"/>
          <w:szCs w:val="22"/>
        </w:rPr>
        <w:t>, OX2 6EH)</w:t>
      </w:r>
      <w:r>
        <w:rPr>
          <w:rFonts w:asciiTheme="minorHAnsi" w:hAnsiTheme="minorHAnsi" w:cstheme="minorHAnsi"/>
          <w:i/>
          <w:sz w:val="22"/>
          <w:szCs w:val="22"/>
        </w:rPr>
        <w:t xml:space="preserve"> APPEAL DISMISSED</w:t>
      </w:r>
    </w:p>
    <w:p w:rsidR="00F41495" w:rsidRPr="00EE6691" w:rsidRDefault="00F41495" w:rsidP="00BD1421">
      <w:pPr>
        <w:pStyle w:val="ListParagraph"/>
        <w:ind w:left="765"/>
        <w:jc w:val="both"/>
        <w:rPr>
          <w:rFonts w:asciiTheme="minorHAnsi" w:hAnsiTheme="minorHAnsi" w:cstheme="minorHAnsi"/>
          <w:i/>
          <w:sz w:val="22"/>
          <w:szCs w:val="22"/>
        </w:rPr>
      </w:pPr>
      <w:r w:rsidRPr="00EE6691">
        <w:rPr>
          <w:rFonts w:ascii="Calibri" w:eastAsia="Times New Roman" w:hAnsi="Calibri" w:cs="Calibri"/>
          <w:color w:val="000000"/>
          <w:sz w:val="22"/>
          <w:szCs w:val="22"/>
          <w:lang w:eastAsia="en-GB"/>
        </w:rPr>
        <w:t xml:space="preserve">The </w:t>
      </w:r>
      <w:r w:rsidR="00EE6691">
        <w:rPr>
          <w:rFonts w:ascii="Calibri" w:eastAsia="Times New Roman" w:hAnsi="Calibri" w:cs="Calibri"/>
          <w:color w:val="000000"/>
          <w:sz w:val="22"/>
          <w:szCs w:val="22"/>
          <w:lang w:eastAsia="en-GB"/>
        </w:rPr>
        <w:t xml:space="preserve">Inspector pointed to the </w:t>
      </w:r>
      <w:r w:rsidRPr="00EE6691">
        <w:rPr>
          <w:rFonts w:ascii="Calibri" w:eastAsia="Times New Roman" w:hAnsi="Calibri" w:cs="Calibri"/>
          <w:color w:val="000000"/>
          <w:sz w:val="22"/>
          <w:szCs w:val="22"/>
          <w:lang w:eastAsia="en-GB"/>
        </w:rPr>
        <w:t>NPPF</w:t>
      </w:r>
      <w:r w:rsidR="00EE6691">
        <w:rPr>
          <w:rFonts w:ascii="Calibri" w:eastAsia="Times New Roman" w:hAnsi="Calibri" w:cs="Calibri"/>
          <w:color w:val="000000"/>
          <w:sz w:val="22"/>
          <w:szCs w:val="22"/>
          <w:lang w:eastAsia="en-GB"/>
        </w:rPr>
        <w:t>’s requirement for heritage assets to</w:t>
      </w:r>
      <w:r w:rsidRPr="00EE6691">
        <w:rPr>
          <w:rFonts w:ascii="Calibri" w:eastAsia="Times New Roman" w:hAnsi="Calibri" w:cs="Calibri"/>
          <w:color w:val="000000"/>
          <w:sz w:val="22"/>
          <w:szCs w:val="22"/>
          <w:lang w:eastAsia="en-GB"/>
        </w:rPr>
        <w:t xml:space="preserve"> be conserved in a manner appropriate to their significance: the more important the heritage asset, the greater the weight should be.</w:t>
      </w:r>
    </w:p>
    <w:p w:rsidR="00F41495" w:rsidRDefault="00F41495" w:rsidP="000773F3">
      <w:pPr>
        <w:rPr>
          <w:rFonts w:asciiTheme="minorHAnsi" w:hAnsiTheme="minorHAnsi" w:cstheme="minorHAnsi"/>
          <w:sz w:val="22"/>
          <w:szCs w:val="22"/>
        </w:rPr>
      </w:pPr>
    </w:p>
    <w:p w:rsidR="00F41495" w:rsidRPr="00EE6691" w:rsidRDefault="00A62DC5" w:rsidP="000773F3">
      <w:pPr>
        <w:rPr>
          <w:rFonts w:asciiTheme="minorHAnsi" w:hAnsiTheme="minorHAnsi" w:cstheme="minorHAnsi"/>
          <w:b/>
          <w:color w:val="403152" w:themeColor="accent4" w:themeShade="80"/>
          <w:sz w:val="22"/>
          <w:szCs w:val="22"/>
        </w:rPr>
      </w:pPr>
      <w:r w:rsidRPr="00EE6691">
        <w:rPr>
          <w:rFonts w:asciiTheme="minorHAnsi" w:hAnsiTheme="minorHAnsi" w:cstheme="minorHAnsi"/>
          <w:b/>
          <w:color w:val="403152" w:themeColor="accent4" w:themeShade="80"/>
          <w:sz w:val="22"/>
          <w:szCs w:val="22"/>
        </w:rPr>
        <w:t>Outdoor Amenity Space</w:t>
      </w:r>
    </w:p>
    <w:p w:rsidR="00EE6691" w:rsidRPr="00EE6691" w:rsidRDefault="00EE6691" w:rsidP="000773F3">
      <w:pPr>
        <w:rPr>
          <w:rFonts w:asciiTheme="minorHAnsi" w:hAnsiTheme="minorHAnsi" w:cstheme="minorHAnsi"/>
          <w:sz w:val="6"/>
          <w:szCs w:val="6"/>
        </w:rPr>
      </w:pPr>
    </w:p>
    <w:p w:rsidR="00F41495" w:rsidRPr="00E63AD1" w:rsidRDefault="00B53D48"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In two appeals</w:t>
      </w:r>
      <w:r w:rsidR="00EE6691" w:rsidRPr="00E63AD1">
        <w:rPr>
          <w:rFonts w:asciiTheme="minorHAnsi" w:hAnsiTheme="minorHAnsi" w:cstheme="minorHAnsi"/>
          <w:sz w:val="22"/>
          <w:szCs w:val="22"/>
        </w:rPr>
        <w:t xml:space="preserve"> Inspectors commented that </w:t>
      </w:r>
      <w:r w:rsidR="006764FB" w:rsidRPr="00E63AD1">
        <w:rPr>
          <w:rFonts w:asciiTheme="minorHAnsi" w:hAnsiTheme="minorHAnsi" w:cstheme="minorHAnsi"/>
          <w:sz w:val="22"/>
          <w:szCs w:val="22"/>
        </w:rPr>
        <w:t xml:space="preserve">Oxford’s Local Development Plan does not provide guidance or a formula for assessing the suitable amount of outdoor amenity space for residential dwellings. (Application references </w:t>
      </w:r>
      <w:r w:rsidR="00ED694F">
        <w:rPr>
          <w:rFonts w:asciiTheme="minorHAnsi" w:hAnsiTheme="minorHAnsi" w:cstheme="minorHAnsi"/>
          <w:sz w:val="22"/>
          <w:szCs w:val="22"/>
        </w:rPr>
        <w:t xml:space="preserve">allowed </w:t>
      </w:r>
      <w:r w:rsidR="006764FB" w:rsidRPr="00E63AD1">
        <w:rPr>
          <w:rFonts w:asciiTheme="minorHAnsi" w:hAnsiTheme="minorHAnsi" w:cstheme="minorHAnsi"/>
          <w:sz w:val="22"/>
          <w:szCs w:val="22"/>
        </w:rPr>
        <w:t xml:space="preserve">and </w:t>
      </w:r>
      <w:r w:rsidR="00A62DC5" w:rsidRPr="00E63AD1">
        <w:rPr>
          <w:rFonts w:asciiTheme="minorHAnsi" w:hAnsiTheme="minorHAnsi" w:cstheme="minorHAnsi"/>
          <w:sz w:val="22"/>
          <w:szCs w:val="22"/>
        </w:rPr>
        <w:t>13/01660/FUL</w:t>
      </w:r>
      <w:r w:rsidR="00ED694F">
        <w:rPr>
          <w:rFonts w:asciiTheme="minorHAnsi" w:hAnsiTheme="minorHAnsi" w:cstheme="minorHAnsi"/>
          <w:sz w:val="22"/>
          <w:szCs w:val="22"/>
        </w:rPr>
        <w:t xml:space="preserve"> - APPEALS ALLOWED</w:t>
      </w:r>
      <w:r w:rsidRPr="00E63AD1">
        <w:rPr>
          <w:rFonts w:asciiTheme="minorHAnsi" w:hAnsiTheme="minorHAnsi" w:cstheme="minorHAnsi"/>
          <w:sz w:val="22"/>
          <w:szCs w:val="22"/>
        </w:rPr>
        <w:t>.)</w:t>
      </w:r>
    </w:p>
    <w:p w:rsidR="00ED3048" w:rsidRDefault="00ED3048" w:rsidP="000773F3">
      <w:pPr>
        <w:rPr>
          <w:rFonts w:asciiTheme="minorHAnsi" w:hAnsiTheme="minorHAnsi" w:cstheme="minorHAnsi"/>
          <w:sz w:val="22"/>
          <w:szCs w:val="22"/>
        </w:rPr>
      </w:pPr>
    </w:p>
    <w:p w:rsidR="00A62DC5" w:rsidRPr="006764FB" w:rsidRDefault="00A62DC5" w:rsidP="000773F3">
      <w:pPr>
        <w:rPr>
          <w:rFonts w:asciiTheme="minorHAnsi" w:hAnsiTheme="minorHAnsi" w:cstheme="minorHAnsi"/>
          <w:b/>
          <w:color w:val="403152" w:themeColor="accent4" w:themeShade="80"/>
          <w:sz w:val="22"/>
          <w:szCs w:val="22"/>
        </w:rPr>
      </w:pPr>
      <w:r w:rsidRPr="006764FB">
        <w:rPr>
          <w:rFonts w:asciiTheme="minorHAnsi" w:hAnsiTheme="minorHAnsi" w:cstheme="minorHAnsi"/>
          <w:b/>
          <w:color w:val="403152" w:themeColor="accent4" w:themeShade="80"/>
          <w:sz w:val="22"/>
          <w:szCs w:val="22"/>
        </w:rPr>
        <w:t>Transport</w:t>
      </w:r>
      <w:r w:rsidR="003B7232">
        <w:rPr>
          <w:rFonts w:asciiTheme="minorHAnsi" w:hAnsiTheme="minorHAnsi" w:cstheme="minorHAnsi"/>
          <w:b/>
          <w:color w:val="403152" w:themeColor="accent4" w:themeShade="80"/>
          <w:sz w:val="22"/>
          <w:szCs w:val="22"/>
        </w:rPr>
        <w:t xml:space="preserve"> Reasons for Refusal</w:t>
      </w:r>
    </w:p>
    <w:p w:rsidR="00B53D48" w:rsidRPr="00B53D48" w:rsidRDefault="00B53D48" w:rsidP="000773F3">
      <w:pPr>
        <w:rPr>
          <w:rFonts w:asciiTheme="minorHAnsi" w:hAnsiTheme="minorHAnsi" w:cstheme="minorHAnsi"/>
          <w:sz w:val="6"/>
          <w:szCs w:val="6"/>
        </w:rPr>
      </w:pPr>
    </w:p>
    <w:p w:rsidR="00E01873" w:rsidRPr="00ED3048" w:rsidRDefault="00B53D48"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Inspectors in three appeals referred to paragraph 32 of the NPPF that states development should only be prevented on transport grounds where the cumulative impacts of development are severe.</w:t>
      </w:r>
      <w:r w:rsidR="00E63AD1">
        <w:rPr>
          <w:rFonts w:asciiTheme="minorHAnsi" w:hAnsiTheme="minorHAnsi" w:cstheme="minorHAnsi"/>
          <w:sz w:val="22"/>
          <w:szCs w:val="22"/>
        </w:rPr>
        <w:t xml:space="preserve"> </w:t>
      </w:r>
      <w:r w:rsidRPr="00E63AD1">
        <w:rPr>
          <w:rFonts w:asciiTheme="minorHAnsi" w:hAnsiTheme="minorHAnsi" w:cstheme="minorHAnsi"/>
          <w:sz w:val="22"/>
          <w:szCs w:val="22"/>
        </w:rPr>
        <w:t xml:space="preserve">(Application references </w:t>
      </w:r>
      <w:r w:rsidR="00A62DC5" w:rsidRPr="00E63AD1">
        <w:rPr>
          <w:rFonts w:asciiTheme="minorHAnsi" w:hAnsiTheme="minorHAnsi" w:cstheme="minorHAnsi"/>
          <w:sz w:val="22"/>
          <w:szCs w:val="22"/>
        </w:rPr>
        <w:t>13/00656/VAR</w:t>
      </w:r>
      <w:r w:rsidR="00745699">
        <w:rPr>
          <w:rFonts w:asciiTheme="minorHAnsi" w:hAnsiTheme="minorHAnsi" w:cstheme="minorHAnsi"/>
          <w:sz w:val="22"/>
          <w:szCs w:val="22"/>
        </w:rPr>
        <w:t xml:space="preserve"> (DISMISSED)</w:t>
      </w:r>
      <w:r w:rsidRPr="00E63AD1">
        <w:rPr>
          <w:rFonts w:asciiTheme="minorHAnsi" w:hAnsiTheme="minorHAnsi" w:cstheme="minorHAnsi"/>
          <w:sz w:val="22"/>
          <w:szCs w:val="22"/>
        </w:rPr>
        <w:t>, 13/00127/FUL</w:t>
      </w:r>
      <w:r w:rsidR="00745699">
        <w:rPr>
          <w:rFonts w:asciiTheme="minorHAnsi" w:hAnsiTheme="minorHAnsi" w:cstheme="minorHAnsi"/>
          <w:sz w:val="22"/>
          <w:szCs w:val="22"/>
        </w:rPr>
        <w:t xml:space="preserve"> (DISMISSED)</w:t>
      </w:r>
      <w:r w:rsidRPr="00E63AD1">
        <w:rPr>
          <w:rFonts w:asciiTheme="minorHAnsi" w:hAnsiTheme="minorHAnsi" w:cstheme="minorHAnsi"/>
          <w:sz w:val="22"/>
          <w:szCs w:val="22"/>
        </w:rPr>
        <w:t xml:space="preserve"> and </w:t>
      </w:r>
      <w:r w:rsidR="00F41495" w:rsidRPr="00E63AD1">
        <w:rPr>
          <w:rFonts w:asciiTheme="minorHAnsi" w:hAnsiTheme="minorHAnsi" w:cstheme="minorHAnsi"/>
          <w:sz w:val="22"/>
          <w:szCs w:val="22"/>
        </w:rPr>
        <w:t>12/02935/FUL</w:t>
      </w:r>
      <w:r w:rsidR="00745699">
        <w:rPr>
          <w:rFonts w:asciiTheme="minorHAnsi" w:hAnsiTheme="minorHAnsi" w:cstheme="minorHAnsi"/>
          <w:sz w:val="22"/>
          <w:szCs w:val="22"/>
        </w:rPr>
        <w:t xml:space="preserve"> (ALLOWED)</w:t>
      </w:r>
      <w:r w:rsidR="00EC66D5">
        <w:rPr>
          <w:rFonts w:asciiTheme="minorHAnsi" w:hAnsiTheme="minorHAnsi" w:cstheme="minorHAnsi"/>
          <w:sz w:val="22"/>
          <w:szCs w:val="22"/>
        </w:rPr>
        <w:t>)</w:t>
      </w:r>
      <w:r w:rsidR="00ED3048">
        <w:rPr>
          <w:rFonts w:asciiTheme="minorHAnsi" w:hAnsiTheme="minorHAnsi" w:cstheme="minorHAnsi"/>
          <w:sz w:val="22"/>
          <w:szCs w:val="22"/>
        </w:rPr>
        <w:t>.</w:t>
      </w:r>
    </w:p>
    <w:p w:rsidR="00ED3048" w:rsidRDefault="00ED3048" w:rsidP="00ED3048">
      <w:pPr>
        <w:pStyle w:val="Header"/>
        <w:tabs>
          <w:tab w:val="clear" w:pos="4513"/>
          <w:tab w:val="clear" w:pos="9026"/>
        </w:tabs>
        <w:ind w:left="360"/>
        <w:jc w:val="both"/>
        <w:rPr>
          <w:rFonts w:asciiTheme="minorHAnsi" w:hAnsiTheme="minorHAnsi" w:cstheme="minorHAnsi"/>
          <w:sz w:val="22"/>
          <w:szCs w:val="22"/>
        </w:rPr>
      </w:pPr>
    </w:p>
    <w:p w:rsidR="00ED3048" w:rsidRDefault="00ED3048" w:rsidP="00ED3048">
      <w:pPr>
        <w:pStyle w:val="Header"/>
        <w:tabs>
          <w:tab w:val="clear" w:pos="4513"/>
          <w:tab w:val="clear" w:pos="9026"/>
        </w:tabs>
        <w:ind w:left="360"/>
        <w:jc w:val="both"/>
        <w:rPr>
          <w:rFonts w:asciiTheme="minorHAnsi" w:hAnsiTheme="minorHAnsi" w:cstheme="minorHAnsi"/>
          <w:sz w:val="22"/>
          <w:szCs w:val="22"/>
        </w:rPr>
      </w:pPr>
    </w:p>
    <w:p w:rsidR="00ED3048" w:rsidRPr="00ED3048" w:rsidRDefault="00ED3048" w:rsidP="00ED3048">
      <w:pPr>
        <w:pStyle w:val="Header"/>
        <w:tabs>
          <w:tab w:val="clear" w:pos="4513"/>
          <w:tab w:val="clear" w:pos="9026"/>
        </w:tabs>
        <w:ind w:left="360"/>
        <w:jc w:val="both"/>
        <w:rPr>
          <w:rFonts w:ascii="Calibri" w:hAnsi="Calibri"/>
          <w:sz w:val="22"/>
          <w:szCs w:val="22"/>
        </w:rPr>
      </w:pPr>
    </w:p>
    <w:p w:rsidR="000773F3" w:rsidRDefault="000773F3" w:rsidP="00F1483B">
      <w:pPr>
        <w:shd w:val="clear" w:color="auto" w:fill="E5DFEC" w:themeFill="accent4" w:themeFillTint="33"/>
        <w:rPr>
          <w:rFonts w:asciiTheme="minorHAnsi" w:hAnsiTheme="minorHAnsi" w:cstheme="minorHAnsi"/>
          <w:b/>
          <w:color w:val="403152" w:themeColor="accent4" w:themeShade="80"/>
          <w:sz w:val="28"/>
          <w:szCs w:val="22"/>
        </w:rPr>
      </w:pPr>
      <w:r>
        <w:rPr>
          <w:rFonts w:asciiTheme="minorHAnsi" w:hAnsiTheme="minorHAnsi" w:cstheme="minorHAnsi"/>
          <w:b/>
          <w:color w:val="403152" w:themeColor="accent4" w:themeShade="80"/>
          <w:sz w:val="28"/>
          <w:szCs w:val="22"/>
        </w:rPr>
        <w:t>Sta</w:t>
      </w:r>
      <w:r w:rsidR="005F7583">
        <w:rPr>
          <w:rFonts w:asciiTheme="minorHAnsi" w:hAnsiTheme="minorHAnsi" w:cstheme="minorHAnsi"/>
          <w:b/>
          <w:color w:val="403152" w:themeColor="accent4" w:themeShade="80"/>
          <w:sz w:val="28"/>
          <w:szCs w:val="22"/>
        </w:rPr>
        <w:t>tement of Community Involvement Monitoring</w:t>
      </w:r>
    </w:p>
    <w:p w:rsidR="00F1483B" w:rsidRPr="005F7583" w:rsidRDefault="00F1483B" w:rsidP="005F7583">
      <w:pPr>
        <w:ind w:right="-46"/>
        <w:rPr>
          <w:rFonts w:asciiTheme="minorHAnsi" w:hAnsiTheme="minorHAnsi" w:cstheme="minorHAnsi"/>
          <w:sz w:val="22"/>
          <w:szCs w:val="22"/>
        </w:rPr>
      </w:pPr>
    </w:p>
    <w:p w:rsidR="005F7583" w:rsidRPr="00E63AD1" w:rsidRDefault="005F7583"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The Statement of Community Involvement (SCI) sets out how the Council will involve the community and other stakeholders in planning decisions. The current SCI was adopted in 2006 (reviewed in 2009) and is now superseded in parts by the 2012 Planning Regulations. A comprehensive review is scheduled to take place in 2014/15.</w:t>
      </w:r>
    </w:p>
    <w:p w:rsidR="00E63AD1" w:rsidRPr="00E63AD1" w:rsidRDefault="00E63AD1" w:rsidP="00E63AD1">
      <w:pPr>
        <w:pStyle w:val="Header"/>
        <w:tabs>
          <w:tab w:val="clear" w:pos="4513"/>
          <w:tab w:val="clear" w:pos="9026"/>
        </w:tabs>
        <w:ind w:left="360"/>
        <w:jc w:val="both"/>
        <w:rPr>
          <w:rFonts w:ascii="Calibri" w:hAnsi="Calibri"/>
          <w:sz w:val="22"/>
          <w:szCs w:val="22"/>
        </w:rPr>
      </w:pPr>
    </w:p>
    <w:p w:rsidR="00DE511C" w:rsidRPr="00DE511C" w:rsidRDefault="00C71B08"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 xml:space="preserve">All of Oxford’s Local Plan Documents require a statement of compliance that shows how they have been produced in accordance with the measures set out in the SCI. </w:t>
      </w:r>
      <w:r w:rsidR="00DE511C">
        <w:rPr>
          <w:rFonts w:asciiTheme="minorHAnsi" w:hAnsiTheme="minorHAnsi" w:cstheme="minorHAnsi"/>
          <w:sz w:val="22"/>
          <w:szCs w:val="22"/>
        </w:rPr>
        <w:t>Figur</w:t>
      </w:r>
      <w:r w:rsidRPr="00E63AD1">
        <w:rPr>
          <w:rFonts w:asciiTheme="minorHAnsi" w:hAnsiTheme="minorHAnsi" w:cstheme="minorHAnsi"/>
          <w:sz w:val="22"/>
          <w:szCs w:val="22"/>
        </w:rPr>
        <w:t xml:space="preserve">e </w:t>
      </w:r>
      <w:r w:rsidR="008B306D">
        <w:rPr>
          <w:rFonts w:asciiTheme="minorHAnsi" w:hAnsiTheme="minorHAnsi" w:cstheme="minorHAnsi"/>
          <w:sz w:val="22"/>
          <w:szCs w:val="22"/>
        </w:rPr>
        <w:t>34</w:t>
      </w:r>
      <w:r w:rsidRPr="00E63AD1">
        <w:rPr>
          <w:rFonts w:asciiTheme="minorHAnsi" w:hAnsiTheme="minorHAnsi" w:cstheme="minorHAnsi"/>
          <w:sz w:val="22"/>
          <w:szCs w:val="22"/>
        </w:rPr>
        <w:t xml:space="preserve"> summarises the consultations undertaken in 2013/14.</w:t>
      </w:r>
    </w:p>
    <w:p w:rsidR="005F7583" w:rsidRDefault="005F7583"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5F7583">
      <w:pPr>
        <w:ind w:right="-46"/>
        <w:rPr>
          <w:rFonts w:asciiTheme="minorHAnsi" w:hAnsiTheme="minorHAnsi" w:cstheme="minorHAnsi"/>
          <w:sz w:val="22"/>
          <w:szCs w:val="22"/>
        </w:rPr>
      </w:pPr>
    </w:p>
    <w:p w:rsidR="00C71B08" w:rsidRDefault="00C71B08" w:rsidP="00C71B08">
      <w:pPr>
        <w:spacing w:before="60" w:after="60"/>
        <w:ind w:right="-46"/>
        <w:rPr>
          <w:rFonts w:asciiTheme="minorHAnsi" w:hAnsiTheme="minorHAnsi" w:cstheme="minorHAnsi"/>
          <w:sz w:val="22"/>
          <w:szCs w:val="20"/>
        </w:rPr>
        <w:sectPr w:rsidR="00C71B08" w:rsidSect="000A317F">
          <w:pgSz w:w="11906" w:h="16838"/>
          <w:pgMar w:top="1440" w:right="1440" w:bottom="1440" w:left="1440" w:header="708" w:footer="708" w:gutter="0"/>
          <w:pgNumType w:start="1"/>
          <w:cols w:space="708"/>
          <w:titlePg/>
          <w:docGrid w:linePitch="360"/>
        </w:sectPr>
      </w:pPr>
    </w:p>
    <w:p w:rsidR="00C71B08" w:rsidRPr="00A53EAE" w:rsidRDefault="00E01873" w:rsidP="005F7583">
      <w:pPr>
        <w:ind w:right="-46"/>
        <w:rPr>
          <w:rFonts w:asciiTheme="minorHAnsi" w:hAnsiTheme="minorHAnsi" w:cstheme="minorHAnsi"/>
          <w:sz w:val="2"/>
          <w:szCs w:val="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97504" behindDoc="0" locked="0" layoutInCell="1" allowOverlap="1" wp14:anchorId="128C7B23" wp14:editId="325CB0B4">
                <wp:simplePos x="0" y="0"/>
                <wp:positionH relativeFrom="column">
                  <wp:posOffset>6877050</wp:posOffset>
                </wp:positionH>
                <wp:positionV relativeFrom="paragraph">
                  <wp:posOffset>-581025</wp:posOffset>
                </wp:positionV>
                <wp:extent cx="2122805" cy="352425"/>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0" o:spid="_x0000_s1088" type="#_x0000_t202" style="position:absolute;margin-left:541.5pt;margin-top:-45.75pt;width:167.15pt;height:27.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09"/>
        <w:gridCol w:w="1811"/>
        <w:gridCol w:w="1689"/>
        <w:gridCol w:w="4001"/>
        <w:gridCol w:w="4364"/>
      </w:tblGrid>
      <w:tr w:rsidR="009B1093" w:rsidTr="009B1093">
        <w:tc>
          <w:tcPr>
            <w:tcW w:w="2376" w:type="dxa"/>
            <w:shd w:val="clear" w:color="auto" w:fill="CCC0D9" w:themeFill="accent4" w:themeFillTint="66"/>
          </w:tcPr>
          <w:p w:rsidR="00C71B08" w:rsidRPr="009B1093" w:rsidRDefault="00C71B08" w:rsidP="00C71B08">
            <w:pPr>
              <w:spacing w:before="60" w:after="60"/>
              <w:ind w:right="-46"/>
              <w:jc w:val="center"/>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Document</w:t>
            </w:r>
          </w:p>
        </w:tc>
        <w:tc>
          <w:tcPr>
            <w:tcW w:w="1843" w:type="dxa"/>
            <w:shd w:val="clear" w:color="auto" w:fill="CCC0D9" w:themeFill="accent4" w:themeFillTint="66"/>
          </w:tcPr>
          <w:p w:rsidR="00C71B08" w:rsidRPr="009B1093" w:rsidRDefault="00C71B08" w:rsidP="00C71B08">
            <w:pPr>
              <w:spacing w:before="60" w:after="60"/>
              <w:ind w:right="-46"/>
              <w:jc w:val="center"/>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Consultation Stage</w:t>
            </w:r>
          </w:p>
        </w:tc>
        <w:tc>
          <w:tcPr>
            <w:tcW w:w="1701" w:type="dxa"/>
            <w:shd w:val="clear" w:color="auto" w:fill="CCC0D9" w:themeFill="accent4" w:themeFillTint="66"/>
          </w:tcPr>
          <w:p w:rsidR="00C71B08" w:rsidRPr="009B1093" w:rsidRDefault="00C71B08" w:rsidP="00C71B08">
            <w:pPr>
              <w:spacing w:before="60" w:after="60"/>
              <w:ind w:right="-46"/>
              <w:jc w:val="center"/>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Consultation Period</w:t>
            </w:r>
          </w:p>
        </w:tc>
        <w:tc>
          <w:tcPr>
            <w:tcW w:w="4111" w:type="dxa"/>
            <w:shd w:val="clear" w:color="auto" w:fill="CCC0D9" w:themeFill="accent4" w:themeFillTint="66"/>
          </w:tcPr>
          <w:p w:rsidR="00C71B08" w:rsidRPr="009B1093" w:rsidRDefault="00C71B08" w:rsidP="00C71B08">
            <w:pPr>
              <w:spacing w:before="60" w:after="60"/>
              <w:ind w:right="-46"/>
              <w:jc w:val="center"/>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Methods Used</w:t>
            </w:r>
          </w:p>
        </w:tc>
        <w:tc>
          <w:tcPr>
            <w:tcW w:w="4143" w:type="dxa"/>
            <w:shd w:val="clear" w:color="auto" w:fill="CCC0D9" w:themeFill="accent4" w:themeFillTint="66"/>
          </w:tcPr>
          <w:p w:rsidR="00C71B08" w:rsidRPr="009B1093" w:rsidRDefault="00F67365" w:rsidP="00C71B08">
            <w:pPr>
              <w:spacing w:before="60" w:after="60"/>
              <w:ind w:right="-46"/>
              <w:jc w:val="center"/>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Outcomes / Comments</w:t>
            </w:r>
          </w:p>
        </w:tc>
      </w:tr>
      <w:tr w:rsidR="00C12206" w:rsidTr="009B1093">
        <w:tc>
          <w:tcPr>
            <w:tcW w:w="2376" w:type="dxa"/>
            <w:vMerge w:val="restart"/>
            <w:shd w:val="clear" w:color="auto" w:fill="CCC0D9" w:themeFill="accent4" w:themeFillTint="66"/>
          </w:tcPr>
          <w:p w:rsidR="00C12206" w:rsidRPr="009B1093" w:rsidRDefault="00C12206" w:rsidP="00811359">
            <w:pPr>
              <w:spacing w:before="60" w:after="60"/>
              <w:rPr>
                <w:rFonts w:asciiTheme="minorHAnsi" w:eastAsia="Times New Roman" w:hAnsiTheme="minorHAnsi" w:cstheme="minorHAnsi"/>
                <w:b/>
                <w:color w:val="403152" w:themeColor="accent4" w:themeShade="80"/>
                <w:sz w:val="20"/>
                <w:szCs w:val="20"/>
              </w:rPr>
            </w:pPr>
            <w:r w:rsidRPr="00431C8D">
              <w:rPr>
                <w:rFonts w:asciiTheme="minorHAnsi" w:eastAsia="Times New Roman" w:hAnsiTheme="minorHAnsi" w:cstheme="minorHAnsi"/>
                <w:b/>
                <w:color w:val="403152" w:themeColor="accent4" w:themeShade="80"/>
                <w:sz w:val="20"/>
                <w:szCs w:val="20"/>
              </w:rPr>
              <w:t>Northern Gateway AAP</w:t>
            </w:r>
          </w:p>
        </w:tc>
        <w:tc>
          <w:tcPr>
            <w:tcW w:w="1843" w:type="dxa"/>
            <w:shd w:val="clear" w:color="auto" w:fill="E5DFEC" w:themeFill="accent4" w:themeFillTint="33"/>
          </w:tcPr>
          <w:p w:rsidR="00C12206" w:rsidRPr="00C71B08" w:rsidRDefault="00C12206"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 xml:space="preserve">Preferred </w:t>
            </w:r>
            <w:r w:rsidR="008307BE">
              <w:rPr>
                <w:rFonts w:asciiTheme="minorHAnsi" w:hAnsiTheme="minorHAnsi" w:cstheme="minorHAnsi"/>
                <w:sz w:val="20"/>
                <w:szCs w:val="20"/>
              </w:rPr>
              <w:t>O</w:t>
            </w:r>
            <w:r>
              <w:rPr>
                <w:rFonts w:asciiTheme="minorHAnsi" w:hAnsiTheme="minorHAnsi" w:cstheme="minorHAnsi"/>
                <w:sz w:val="20"/>
                <w:szCs w:val="20"/>
              </w:rPr>
              <w:t>ptions</w:t>
            </w:r>
          </w:p>
        </w:tc>
        <w:tc>
          <w:tcPr>
            <w:tcW w:w="1701" w:type="dxa"/>
            <w:shd w:val="clear" w:color="auto" w:fill="E5DFEC" w:themeFill="accent4" w:themeFillTint="33"/>
          </w:tcPr>
          <w:p w:rsidR="00FD40EB" w:rsidRDefault="00C12206" w:rsidP="00F67365">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 xml:space="preserve">14 February </w:t>
            </w:r>
            <w:r w:rsidR="00FD40EB">
              <w:rPr>
                <w:rFonts w:asciiTheme="minorHAnsi" w:hAnsiTheme="minorHAnsi" w:cstheme="minorHAnsi"/>
                <w:sz w:val="20"/>
                <w:szCs w:val="20"/>
              </w:rPr>
              <w:t>-</w:t>
            </w:r>
            <w:r>
              <w:rPr>
                <w:rFonts w:asciiTheme="minorHAnsi" w:hAnsiTheme="minorHAnsi" w:cstheme="minorHAnsi"/>
                <w:sz w:val="20"/>
                <w:szCs w:val="20"/>
              </w:rPr>
              <w:t xml:space="preserve"> </w:t>
            </w:r>
          </w:p>
          <w:p w:rsidR="00C12206" w:rsidRPr="00C71B08" w:rsidRDefault="00C12206" w:rsidP="00F67365">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28 March 2014</w:t>
            </w:r>
          </w:p>
        </w:tc>
        <w:tc>
          <w:tcPr>
            <w:tcW w:w="4111" w:type="dxa"/>
            <w:shd w:val="clear" w:color="auto" w:fill="E5DFEC" w:themeFill="accent4" w:themeFillTint="33"/>
          </w:tcPr>
          <w:p w:rsidR="00C1220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Summary questionnaire hand delivered to approximately 4,000 ho</w:t>
            </w:r>
            <w:r w:rsidR="00A64B8E">
              <w:rPr>
                <w:rFonts w:asciiTheme="minorHAnsi" w:hAnsiTheme="minorHAnsi" w:cstheme="minorHAnsi"/>
                <w:sz w:val="20"/>
                <w:szCs w:val="20"/>
              </w:rPr>
              <w:t xml:space="preserve">mes </w:t>
            </w:r>
            <w:r>
              <w:rPr>
                <w:rFonts w:asciiTheme="minorHAnsi" w:hAnsiTheme="minorHAnsi" w:cstheme="minorHAnsi"/>
                <w:sz w:val="20"/>
                <w:szCs w:val="20"/>
              </w:rPr>
              <w:t>(362 responses).</w:t>
            </w:r>
          </w:p>
          <w:p w:rsidR="00046510" w:rsidRDefault="00A64B8E"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 xml:space="preserve">Direct letters/emails to 34 statutory </w:t>
            </w:r>
            <w:proofErr w:type="spellStart"/>
            <w:r>
              <w:rPr>
                <w:rFonts w:asciiTheme="minorHAnsi" w:hAnsiTheme="minorHAnsi" w:cstheme="minorHAnsi"/>
                <w:sz w:val="20"/>
                <w:szCs w:val="20"/>
              </w:rPr>
              <w:t>consultees</w:t>
            </w:r>
            <w:proofErr w:type="spellEnd"/>
            <w:r>
              <w:rPr>
                <w:rFonts w:asciiTheme="minorHAnsi" w:hAnsiTheme="minorHAnsi" w:cstheme="minorHAnsi"/>
                <w:sz w:val="20"/>
                <w:szCs w:val="20"/>
              </w:rPr>
              <w:t xml:space="preserve"> and 279 local groups.</w:t>
            </w:r>
          </w:p>
          <w:p w:rsidR="00C12206" w:rsidRDefault="00A64B8E"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O</w:t>
            </w:r>
            <w:r w:rsidR="00C12206">
              <w:rPr>
                <w:rFonts w:asciiTheme="minorHAnsi" w:hAnsiTheme="minorHAnsi" w:cstheme="minorHAnsi"/>
                <w:sz w:val="20"/>
                <w:szCs w:val="20"/>
              </w:rPr>
              <w:t>nline questionnaire (162 responses).</w:t>
            </w:r>
          </w:p>
          <w:p w:rsidR="00C1220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 xml:space="preserve">Public workshop </w:t>
            </w:r>
            <w:r w:rsidR="00BF7A96">
              <w:rPr>
                <w:rFonts w:asciiTheme="minorHAnsi" w:hAnsiTheme="minorHAnsi" w:cstheme="minorHAnsi"/>
                <w:sz w:val="20"/>
                <w:szCs w:val="20"/>
              </w:rPr>
              <w:t xml:space="preserve">held </w:t>
            </w:r>
            <w:r>
              <w:rPr>
                <w:rFonts w:asciiTheme="minorHAnsi" w:hAnsiTheme="minorHAnsi" w:cstheme="minorHAnsi"/>
                <w:sz w:val="20"/>
                <w:szCs w:val="20"/>
              </w:rPr>
              <w:t xml:space="preserve">at the Oxford Hotel which included a brief presentation and roundtable discussions led by City and County Council </w:t>
            </w:r>
            <w:r w:rsidR="00BF7A96">
              <w:rPr>
                <w:rFonts w:asciiTheme="minorHAnsi" w:hAnsiTheme="minorHAnsi" w:cstheme="minorHAnsi"/>
                <w:sz w:val="20"/>
                <w:szCs w:val="20"/>
              </w:rPr>
              <w:t>officers</w:t>
            </w:r>
            <w:r>
              <w:rPr>
                <w:rFonts w:asciiTheme="minorHAnsi" w:hAnsiTheme="minorHAnsi" w:cstheme="minorHAnsi"/>
                <w:sz w:val="20"/>
                <w:szCs w:val="20"/>
              </w:rPr>
              <w:t xml:space="preserve"> (over 80 attendees).</w:t>
            </w:r>
          </w:p>
          <w:p w:rsidR="00C1220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 xml:space="preserve">Specific stakeholders (e.g. landowners, </w:t>
            </w:r>
            <w:r w:rsidR="00A64B8E">
              <w:rPr>
                <w:rFonts w:asciiTheme="minorHAnsi" w:hAnsiTheme="minorHAnsi" w:cstheme="minorHAnsi"/>
                <w:sz w:val="20"/>
                <w:szCs w:val="20"/>
              </w:rPr>
              <w:t>Neighbourhood Forum, Highways Agency</w:t>
            </w:r>
            <w:r>
              <w:rPr>
                <w:rFonts w:asciiTheme="minorHAnsi" w:hAnsiTheme="minorHAnsi" w:cstheme="minorHAnsi"/>
                <w:sz w:val="20"/>
                <w:szCs w:val="20"/>
              </w:rPr>
              <w:t>)   invited to part</w:t>
            </w:r>
            <w:r w:rsidR="00BF7A96">
              <w:rPr>
                <w:rFonts w:asciiTheme="minorHAnsi" w:hAnsiTheme="minorHAnsi" w:cstheme="minorHAnsi"/>
                <w:sz w:val="20"/>
                <w:szCs w:val="20"/>
              </w:rPr>
              <w:t>icipate</w:t>
            </w:r>
            <w:r>
              <w:rPr>
                <w:rFonts w:asciiTheme="minorHAnsi" w:hAnsiTheme="minorHAnsi" w:cstheme="minorHAnsi"/>
                <w:sz w:val="20"/>
                <w:szCs w:val="20"/>
              </w:rPr>
              <w:t xml:space="preserve"> in a workshop </w:t>
            </w:r>
            <w:r w:rsidR="00BF7A96">
              <w:rPr>
                <w:rFonts w:asciiTheme="minorHAnsi" w:hAnsiTheme="minorHAnsi" w:cstheme="minorHAnsi"/>
                <w:sz w:val="20"/>
                <w:szCs w:val="20"/>
              </w:rPr>
              <w:t xml:space="preserve">held </w:t>
            </w:r>
            <w:r>
              <w:rPr>
                <w:rFonts w:asciiTheme="minorHAnsi" w:hAnsiTheme="minorHAnsi" w:cstheme="minorHAnsi"/>
                <w:sz w:val="20"/>
                <w:szCs w:val="20"/>
              </w:rPr>
              <w:t>at the Town Hall (over 30 attendees).</w:t>
            </w:r>
          </w:p>
          <w:p w:rsidR="00C12206" w:rsidRPr="00BF7A9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Exhibi</w:t>
            </w:r>
            <w:r w:rsidR="00BF7A96">
              <w:rPr>
                <w:rFonts w:asciiTheme="minorHAnsi" w:hAnsiTheme="minorHAnsi" w:cstheme="minorHAnsi"/>
                <w:sz w:val="20"/>
                <w:szCs w:val="20"/>
              </w:rPr>
              <w:t>tions at seven local venues including some d</w:t>
            </w:r>
            <w:r w:rsidRPr="00BF7A96">
              <w:rPr>
                <w:rFonts w:asciiTheme="minorHAnsi" w:hAnsiTheme="minorHAnsi" w:cstheme="minorHAnsi"/>
                <w:sz w:val="20"/>
                <w:szCs w:val="20"/>
              </w:rPr>
              <w:t>rop-</w:t>
            </w:r>
            <w:r w:rsidR="00BF7A96">
              <w:rPr>
                <w:rFonts w:asciiTheme="minorHAnsi" w:hAnsiTheme="minorHAnsi" w:cstheme="minorHAnsi"/>
                <w:sz w:val="20"/>
                <w:szCs w:val="20"/>
              </w:rPr>
              <w:t xml:space="preserve">in </w:t>
            </w:r>
            <w:r w:rsidRPr="00BF7A96">
              <w:rPr>
                <w:rFonts w:asciiTheme="minorHAnsi" w:hAnsiTheme="minorHAnsi" w:cstheme="minorHAnsi"/>
                <w:sz w:val="20"/>
                <w:szCs w:val="20"/>
              </w:rPr>
              <w:t>sessions</w:t>
            </w:r>
            <w:r w:rsidR="00BF7A96">
              <w:rPr>
                <w:rFonts w:asciiTheme="minorHAnsi" w:hAnsiTheme="minorHAnsi" w:cstheme="minorHAnsi"/>
                <w:sz w:val="20"/>
                <w:szCs w:val="20"/>
              </w:rPr>
              <w:t>.</w:t>
            </w:r>
          </w:p>
          <w:p w:rsidR="00C1220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Publicity via project webpage, social media, local newsletters and posters.</w:t>
            </w:r>
          </w:p>
          <w:p w:rsidR="00C12206" w:rsidRDefault="00C12206" w:rsidP="004335B5">
            <w:pPr>
              <w:pStyle w:val="ListParagraph"/>
              <w:numPr>
                <w:ilvl w:val="0"/>
                <w:numId w:val="11"/>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Emails and letters (40 responses).</w:t>
            </w:r>
          </w:p>
          <w:p w:rsidR="00FD40EB" w:rsidRPr="006F7302" w:rsidRDefault="00FD40EB" w:rsidP="00FD40EB">
            <w:pPr>
              <w:pStyle w:val="ListParagraph"/>
              <w:spacing w:before="60" w:after="60"/>
              <w:ind w:left="176" w:right="-46"/>
              <w:rPr>
                <w:rFonts w:asciiTheme="minorHAnsi" w:hAnsiTheme="minorHAnsi" w:cstheme="minorHAnsi"/>
                <w:sz w:val="22"/>
                <w:szCs w:val="10"/>
              </w:rPr>
            </w:pPr>
          </w:p>
        </w:tc>
        <w:tc>
          <w:tcPr>
            <w:tcW w:w="4143" w:type="dxa"/>
            <w:shd w:val="clear" w:color="auto" w:fill="E5DFEC" w:themeFill="accent4" w:themeFillTint="33"/>
          </w:tcPr>
          <w:p w:rsidR="006F7302" w:rsidRDefault="006F7302" w:rsidP="006F7302">
            <w:pPr>
              <w:spacing w:before="60" w:after="60"/>
              <w:ind w:right="-46"/>
              <w:rPr>
                <w:rFonts w:asciiTheme="minorHAnsi" w:hAnsiTheme="minorHAnsi" w:cstheme="minorHAnsi"/>
                <w:sz w:val="20"/>
                <w:szCs w:val="20"/>
              </w:rPr>
            </w:pPr>
            <w:r>
              <w:rPr>
                <w:rFonts w:asciiTheme="minorHAnsi" w:hAnsiTheme="minorHAnsi" w:cstheme="minorHAnsi"/>
                <w:sz w:val="20"/>
                <w:szCs w:val="20"/>
              </w:rPr>
              <w:t xml:space="preserve">The </w:t>
            </w:r>
            <w:r w:rsidR="008307BE">
              <w:rPr>
                <w:rFonts w:asciiTheme="minorHAnsi" w:hAnsiTheme="minorHAnsi" w:cstheme="minorHAnsi"/>
                <w:sz w:val="20"/>
                <w:szCs w:val="20"/>
              </w:rPr>
              <w:t xml:space="preserve">results of the consultation helped to </w:t>
            </w:r>
            <w:r>
              <w:rPr>
                <w:rFonts w:asciiTheme="minorHAnsi" w:hAnsiTheme="minorHAnsi" w:cstheme="minorHAnsi"/>
                <w:sz w:val="20"/>
                <w:szCs w:val="20"/>
              </w:rPr>
              <w:t>inform the drafting of the</w:t>
            </w:r>
            <w:r w:rsidR="008307BE">
              <w:rPr>
                <w:rFonts w:asciiTheme="minorHAnsi" w:hAnsiTheme="minorHAnsi" w:cstheme="minorHAnsi"/>
                <w:sz w:val="20"/>
                <w:szCs w:val="20"/>
              </w:rPr>
              <w:t xml:space="preserve"> Proposed Submission </w:t>
            </w:r>
            <w:r>
              <w:rPr>
                <w:rFonts w:asciiTheme="minorHAnsi" w:hAnsiTheme="minorHAnsi" w:cstheme="minorHAnsi"/>
                <w:sz w:val="20"/>
                <w:szCs w:val="20"/>
              </w:rPr>
              <w:t>which will be consulted on during the 2014/15 monitoring period.</w:t>
            </w:r>
          </w:p>
          <w:p w:rsidR="00C12206" w:rsidRDefault="00C12206" w:rsidP="00811359">
            <w:pPr>
              <w:spacing w:before="60" w:after="60"/>
              <w:ind w:right="-46"/>
              <w:rPr>
                <w:rFonts w:asciiTheme="minorHAnsi" w:hAnsiTheme="minorHAnsi" w:cstheme="minorHAnsi"/>
                <w:sz w:val="20"/>
                <w:szCs w:val="20"/>
              </w:rPr>
            </w:pPr>
          </w:p>
          <w:p w:rsidR="006F7302" w:rsidRPr="00C71B08" w:rsidRDefault="006F7302" w:rsidP="00E2063F">
            <w:pPr>
              <w:spacing w:before="60" w:after="60"/>
              <w:ind w:right="-46"/>
              <w:rPr>
                <w:rFonts w:asciiTheme="minorHAnsi" w:hAnsiTheme="minorHAnsi" w:cstheme="minorHAnsi"/>
                <w:sz w:val="20"/>
                <w:szCs w:val="20"/>
              </w:rPr>
            </w:pPr>
          </w:p>
        </w:tc>
      </w:tr>
      <w:tr w:rsidR="00C12206" w:rsidTr="009B1093">
        <w:tc>
          <w:tcPr>
            <w:tcW w:w="2376" w:type="dxa"/>
            <w:vMerge/>
            <w:shd w:val="clear" w:color="auto" w:fill="CCC0D9" w:themeFill="accent4" w:themeFillTint="66"/>
          </w:tcPr>
          <w:p w:rsidR="00C12206" w:rsidRPr="009B1093" w:rsidRDefault="00C12206" w:rsidP="00811359">
            <w:pPr>
              <w:spacing w:before="60" w:after="60"/>
              <w:rPr>
                <w:rFonts w:asciiTheme="minorHAnsi" w:eastAsia="Times New Roman" w:hAnsiTheme="minorHAnsi" w:cstheme="minorHAnsi"/>
                <w:b/>
                <w:color w:val="403152" w:themeColor="accent4" w:themeShade="80"/>
                <w:sz w:val="20"/>
                <w:szCs w:val="20"/>
              </w:rPr>
            </w:pPr>
          </w:p>
        </w:tc>
        <w:tc>
          <w:tcPr>
            <w:tcW w:w="1843" w:type="dxa"/>
            <w:shd w:val="clear" w:color="auto" w:fill="EEEAF2"/>
          </w:tcPr>
          <w:p w:rsidR="00C12206" w:rsidRPr="00C71B08" w:rsidRDefault="00C12206" w:rsidP="00577D7B">
            <w:pPr>
              <w:spacing w:before="60" w:after="60"/>
              <w:ind w:right="-46"/>
              <w:rPr>
                <w:rFonts w:asciiTheme="minorHAnsi" w:hAnsiTheme="minorHAnsi" w:cstheme="minorHAnsi"/>
                <w:sz w:val="20"/>
                <w:szCs w:val="20"/>
              </w:rPr>
            </w:pPr>
            <w:r>
              <w:rPr>
                <w:rFonts w:asciiTheme="minorHAnsi" w:hAnsiTheme="minorHAnsi" w:cstheme="minorHAnsi"/>
                <w:sz w:val="20"/>
                <w:szCs w:val="20"/>
              </w:rPr>
              <w:t>Early consultation (informal)</w:t>
            </w:r>
          </w:p>
        </w:tc>
        <w:tc>
          <w:tcPr>
            <w:tcW w:w="1701" w:type="dxa"/>
            <w:shd w:val="clear" w:color="auto" w:fill="EEEAF2"/>
          </w:tcPr>
          <w:p w:rsidR="00C12206" w:rsidRPr="00C71B08" w:rsidRDefault="00C12206" w:rsidP="00F67365">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Autumn/Winter 2013</w:t>
            </w:r>
          </w:p>
        </w:tc>
        <w:tc>
          <w:tcPr>
            <w:tcW w:w="4111" w:type="dxa"/>
            <w:shd w:val="clear" w:color="auto" w:fill="EEEAF2"/>
          </w:tcPr>
          <w:p w:rsidR="00046510" w:rsidRDefault="00C12206" w:rsidP="004335B5">
            <w:pPr>
              <w:pStyle w:val="ListParagraph"/>
              <w:numPr>
                <w:ilvl w:val="0"/>
                <w:numId w:val="11"/>
              </w:numPr>
              <w:spacing w:before="60" w:after="60"/>
              <w:ind w:left="175" w:right="-46" w:hanging="142"/>
              <w:rPr>
                <w:rFonts w:asciiTheme="minorHAnsi" w:hAnsiTheme="minorHAnsi" w:cstheme="minorHAnsi"/>
                <w:sz w:val="20"/>
                <w:szCs w:val="20"/>
              </w:rPr>
            </w:pPr>
            <w:r w:rsidRPr="00F67365">
              <w:rPr>
                <w:rFonts w:asciiTheme="minorHAnsi" w:hAnsiTheme="minorHAnsi" w:cstheme="minorHAnsi"/>
                <w:sz w:val="20"/>
                <w:szCs w:val="20"/>
              </w:rPr>
              <w:t>Meetings with stakeholders (e.g. Environment Agency, Highways Agency), service providers (e.g. Local Education Authority, Emergency Services), and neighbouring authorities (e.g. Cherwell and South</w:t>
            </w:r>
            <w:r>
              <w:rPr>
                <w:rFonts w:asciiTheme="minorHAnsi" w:hAnsiTheme="minorHAnsi" w:cstheme="minorHAnsi"/>
                <w:sz w:val="20"/>
                <w:szCs w:val="20"/>
              </w:rPr>
              <w:t xml:space="preserve"> </w:t>
            </w:r>
            <w:r w:rsidRPr="00F67365">
              <w:rPr>
                <w:rFonts w:asciiTheme="minorHAnsi" w:hAnsiTheme="minorHAnsi" w:cstheme="minorHAnsi"/>
                <w:sz w:val="20"/>
                <w:szCs w:val="20"/>
              </w:rPr>
              <w:t xml:space="preserve">Oxfordshire </w:t>
            </w:r>
            <w:r w:rsidR="00046510">
              <w:rPr>
                <w:rFonts w:asciiTheme="minorHAnsi" w:hAnsiTheme="minorHAnsi" w:cstheme="minorHAnsi"/>
                <w:sz w:val="20"/>
                <w:szCs w:val="20"/>
              </w:rPr>
              <w:t>District Councils</w:t>
            </w:r>
            <w:r w:rsidR="00775C63">
              <w:rPr>
                <w:rFonts w:asciiTheme="minorHAnsi" w:hAnsiTheme="minorHAnsi" w:cstheme="minorHAnsi"/>
                <w:sz w:val="20"/>
                <w:szCs w:val="20"/>
              </w:rPr>
              <w:t>)</w:t>
            </w:r>
            <w:r w:rsidR="00046510">
              <w:rPr>
                <w:rFonts w:asciiTheme="minorHAnsi" w:hAnsiTheme="minorHAnsi" w:cstheme="minorHAnsi"/>
                <w:sz w:val="20"/>
                <w:szCs w:val="20"/>
              </w:rPr>
              <w:t xml:space="preserve"> and</w:t>
            </w:r>
            <w:r w:rsidRPr="00F67365">
              <w:rPr>
                <w:rFonts w:asciiTheme="minorHAnsi" w:hAnsiTheme="minorHAnsi" w:cstheme="minorHAnsi"/>
                <w:sz w:val="20"/>
                <w:szCs w:val="20"/>
              </w:rPr>
              <w:t xml:space="preserve"> local groups and organisations (e.g. representatives of </w:t>
            </w:r>
            <w:proofErr w:type="spellStart"/>
            <w:r w:rsidRPr="00F67365">
              <w:rPr>
                <w:rFonts w:asciiTheme="minorHAnsi" w:hAnsiTheme="minorHAnsi" w:cstheme="minorHAnsi"/>
                <w:sz w:val="20"/>
                <w:szCs w:val="20"/>
              </w:rPr>
              <w:t>Wolvercote</w:t>
            </w:r>
            <w:proofErr w:type="spellEnd"/>
            <w:r w:rsidRPr="00F67365">
              <w:rPr>
                <w:rFonts w:asciiTheme="minorHAnsi" w:hAnsiTheme="minorHAnsi" w:cstheme="minorHAnsi"/>
                <w:sz w:val="20"/>
                <w:szCs w:val="20"/>
              </w:rPr>
              <w:t xml:space="preserve"> Co</w:t>
            </w:r>
            <w:r w:rsidR="00046510">
              <w:rPr>
                <w:rFonts w:asciiTheme="minorHAnsi" w:hAnsiTheme="minorHAnsi" w:cstheme="minorHAnsi"/>
                <w:sz w:val="20"/>
                <w:szCs w:val="20"/>
              </w:rPr>
              <w:t>mmoners and Engage Oxford).</w:t>
            </w:r>
          </w:p>
          <w:p w:rsidR="00C12206" w:rsidRPr="00046510" w:rsidRDefault="00046510" w:rsidP="004335B5">
            <w:pPr>
              <w:pStyle w:val="ListParagraph"/>
              <w:numPr>
                <w:ilvl w:val="0"/>
                <w:numId w:val="11"/>
              </w:numPr>
              <w:spacing w:before="60" w:after="60"/>
              <w:ind w:left="175" w:right="-46" w:hanging="142"/>
              <w:rPr>
                <w:rFonts w:asciiTheme="minorHAnsi" w:hAnsiTheme="minorHAnsi" w:cstheme="minorHAnsi"/>
                <w:sz w:val="20"/>
                <w:szCs w:val="20"/>
              </w:rPr>
            </w:pPr>
            <w:r>
              <w:rPr>
                <w:rFonts w:asciiTheme="minorHAnsi" w:hAnsiTheme="minorHAnsi" w:cstheme="minorHAnsi"/>
                <w:sz w:val="20"/>
                <w:szCs w:val="20"/>
              </w:rPr>
              <w:t>C</w:t>
            </w:r>
            <w:r w:rsidR="00C12206" w:rsidRPr="00F67365">
              <w:rPr>
                <w:rFonts w:asciiTheme="minorHAnsi" w:hAnsiTheme="minorHAnsi" w:cstheme="minorHAnsi"/>
                <w:sz w:val="20"/>
                <w:szCs w:val="20"/>
              </w:rPr>
              <w:t xml:space="preserve">lose working with the </w:t>
            </w:r>
            <w:proofErr w:type="spellStart"/>
            <w:r w:rsidR="00C12206" w:rsidRPr="00F67365">
              <w:rPr>
                <w:rFonts w:asciiTheme="minorHAnsi" w:hAnsiTheme="minorHAnsi" w:cstheme="minorHAnsi"/>
                <w:sz w:val="20"/>
                <w:szCs w:val="20"/>
              </w:rPr>
              <w:t>Wolvercote</w:t>
            </w:r>
            <w:proofErr w:type="spellEnd"/>
            <w:r w:rsidR="00C12206" w:rsidRPr="00F67365">
              <w:rPr>
                <w:rFonts w:asciiTheme="minorHAnsi" w:hAnsiTheme="minorHAnsi" w:cstheme="minorHAnsi"/>
                <w:sz w:val="20"/>
                <w:szCs w:val="20"/>
              </w:rPr>
              <w:t xml:space="preserve"> Neighbourhood </w:t>
            </w:r>
            <w:r w:rsidR="00775C63">
              <w:rPr>
                <w:rFonts w:asciiTheme="minorHAnsi" w:hAnsiTheme="minorHAnsi" w:cstheme="minorHAnsi"/>
                <w:sz w:val="20"/>
                <w:szCs w:val="20"/>
              </w:rPr>
              <w:t>Plan G</w:t>
            </w:r>
            <w:r>
              <w:rPr>
                <w:rFonts w:asciiTheme="minorHAnsi" w:hAnsiTheme="minorHAnsi" w:cstheme="minorHAnsi"/>
                <w:sz w:val="20"/>
                <w:szCs w:val="20"/>
              </w:rPr>
              <w:t>roup, including o</w:t>
            </w:r>
            <w:r w:rsidR="00C12206" w:rsidRPr="00046510">
              <w:rPr>
                <w:rFonts w:asciiTheme="minorHAnsi" w:hAnsiTheme="minorHAnsi" w:cstheme="minorHAnsi"/>
                <w:sz w:val="20"/>
                <w:szCs w:val="20"/>
              </w:rPr>
              <w:t xml:space="preserve">fficers </w:t>
            </w:r>
            <w:r>
              <w:rPr>
                <w:rFonts w:asciiTheme="minorHAnsi" w:hAnsiTheme="minorHAnsi" w:cstheme="minorHAnsi"/>
                <w:sz w:val="20"/>
                <w:szCs w:val="20"/>
              </w:rPr>
              <w:t>assisting them in running a public workshop (over 100 attendees).</w:t>
            </w:r>
          </w:p>
          <w:p w:rsidR="00FD40EB" w:rsidRPr="006F7302" w:rsidRDefault="00FD40EB" w:rsidP="00FD40EB">
            <w:pPr>
              <w:pStyle w:val="ListParagraph"/>
              <w:spacing w:before="60" w:after="60"/>
              <w:ind w:left="175" w:right="-46"/>
              <w:rPr>
                <w:rFonts w:asciiTheme="minorHAnsi" w:hAnsiTheme="minorHAnsi" w:cstheme="minorHAnsi"/>
                <w:sz w:val="22"/>
                <w:szCs w:val="22"/>
              </w:rPr>
            </w:pPr>
          </w:p>
        </w:tc>
        <w:tc>
          <w:tcPr>
            <w:tcW w:w="4143" w:type="dxa"/>
            <w:shd w:val="clear" w:color="auto" w:fill="EEEAF2"/>
          </w:tcPr>
          <w:p w:rsidR="008307BE" w:rsidRDefault="008307BE" w:rsidP="008307BE">
            <w:pPr>
              <w:spacing w:before="60" w:after="60"/>
              <w:ind w:right="-46"/>
              <w:rPr>
                <w:rFonts w:asciiTheme="minorHAnsi" w:hAnsiTheme="minorHAnsi" w:cstheme="minorHAnsi"/>
                <w:sz w:val="20"/>
                <w:szCs w:val="20"/>
              </w:rPr>
            </w:pPr>
            <w:r>
              <w:rPr>
                <w:rFonts w:asciiTheme="minorHAnsi" w:hAnsiTheme="minorHAnsi" w:cstheme="minorHAnsi"/>
                <w:sz w:val="20"/>
                <w:szCs w:val="20"/>
              </w:rPr>
              <w:t>The results of the early consultation helped to inform the drafting of the Preferred Options.</w:t>
            </w:r>
          </w:p>
          <w:p w:rsidR="00C12206" w:rsidRPr="00C71B08" w:rsidRDefault="00C12206" w:rsidP="007B6707">
            <w:pPr>
              <w:spacing w:before="60" w:after="60"/>
              <w:ind w:right="-46"/>
              <w:rPr>
                <w:rFonts w:asciiTheme="minorHAnsi" w:hAnsiTheme="minorHAnsi" w:cstheme="minorHAnsi"/>
                <w:sz w:val="20"/>
                <w:szCs w:val="20"/>
              </w:rPr>
            </w:pPr>
          </w:p>
        </w:tc>
      </w:tr>
      <w:tr w:rsidR="00577D7B" w:rsidTr="009B1093">
        <w:tc>
          <w:tcPr>
            <w:tcW w:w="2376" w:type="dxa"/>
            <w:shd w:val="clear" w:color="auto" w:fill="CCC0D9" w:themeFill="accent4" w:themeFillTint="66"/>
          </w:tcPr>
          <w:p w:rsidR="00577D7B" w:rsidRPr="009B1093" w:rsidRDefault="00C12206" w:rsidP="00811359">
            <w:pPr>
              <w:spacing w:before="60" w:after="60"/>
              <w:ind w:right="-46"/>
              <w:rPr>
                <w:rFonts w:asciiTheme="minorHAnsi" w:eastAsia="Times New Roman" w:hAnsiTheme="minorHAnsi" w:cstheme="minorHAnsi"/>
                <w:b/>
                <w:color w:val="403152" w:themeColor="accent4" w:themeShade="80"/>
                <w:sz w:val="20"/>
                <w:szCs w:val="20"/>
              </w:rPr>
            </w:pPr>
            <w:r w:rsidRPr="00431C8D">
              <w:rPr>
                <w:rFonts w:asciiTheme="minorHAnsi" w:eastAsia="Times New Roman" w:hAnsiTheme="minorHAnsi" w:cstheme="minorHAnsi"/>
                <w:b/>
                <w:color w:val="403152" w:themeColor="accent4" w:themeShade="80"/>
                <w:sz w:val="20"/>
                <w:szCs w:val="20"/>
              </w:rPr>
              <w:lastRenderedPageBreak/>
              <w:t>Diamond Place SPD</w:t>
            </w:r>
          </w:p>
        </w:tc>
        <w:tc>
          <w:tcPr>
            <w:tcW w:w="1843" w:type="dxa"/>
            <w:shd w:val="clear" w:color="auto" w:fill="E5DFEC" w:themeFill="accent4" w:themeFillTint="33"/>
          </w:tcPr>
          <w:p w:rsidR="00577D7B" w:rsidRPr="00C71B08" w:rsidRDefault="00577D7B"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Early consultation (informal)</w:t>
            </w:r>
          </w:p>
        </w:tc>
        <w:tc>
          <w:tcPr>
            <w:tcW w:w="1701" w:type="dxa"/>
            <w:shd w:val="clear" w:color="auto" w:fill="E5DFEC" w:themeFill="accent4" w:themeFillTint="33"/>
          </w:tcPr>
          <w:p w:rsidR="00577D7B" w:rsidRPr="00C71B08" w:rsidRDefault="00A53EAE"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 xml:space="preserve">4 </w:t>
            </w:r>
            <w:r w:rsidR="007150F6">
              <w:rPr>
                <w:rFonts w:asciiTheme="minorHAnsi" w:hAnsiTheme="minorHAnsi" w:cstheme="minorHAnsi"/>
                <w:sz w:val="20"/>
                <w:szCs w:val="20"/>
              </w:rPr>
              <w:t>September 2013</w:t>
            </w:r>
          </w:p>
        </w:tc>
        <w:tc>
          <w:tcPr>
            <w:tcW w:w="4111" w:type="dxa"/>
            <w:shd w:val="clear" w:color="auto" w:fill="E5DFEC" w:themeFill="accent4" w:themeFillTint="33"/>
          </w:tcPr>
          <w:p w:rsidR="00577D7B" w:rsidRDefault="00775C63" w:rsidP="004335B5">
            <w:pPr>
              <w:pStyle w:val="ListParagraph"/>
              <w:numPr>
                <w:ilvl w:val="0"/>
                <w:numId w:val="12"/>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A w</w:t>
            </w:r>
            <w:r w:rsidR="007150F6">
              <w:rPr>
                <w:rFonts w:asciiTheme="minorHAnsi" w:hAnsiTheme="minorHAnsi" w:cstheme="minorHAnsi"/>
                <w:sz w:val="20"/>
                <w:szCs w:val="20"/>
              </w:rPr>
              <w:t xml:space="preserve">orkshop </w:t>
            </w:r>
            <w:r>
              <w:rPr>
                <w:rFonts w:asciiTheme="minorHAnsi" w:hAnsiTheme="minorHAnsi" w:cstheme="minorHAnsi"/>
                <w:sz w:val="20"/>
                <w:szCs w:val="20"/>
              </w:rPr>
              <w:t xml:space="preserve">was </w:t>
            </w:r>
            <w:r w:rsidR="007150F6">
              <w:rPr>
                <w:rFonts w:asciiTheme="minorHAnsi" w:hAnsiTheme="minorHAnsi" w:cstheme="minorHAnsi"/>
                <w:sz w:val="20"/>
                <w:szCs w:val="20"/>
              </w:rPr>
              <w:t>held</w:t>
            </w:r>
            <w:r>
              <w:rPr>
                <w:rFonts w:asciiTheme="minorHAnsi" w:hAnsiTheme="minorHAnsi" w:cstheme="minorHAnsi"/>
                <w:sz w:val="20"/>
                <w:szCs w:val="20"/>
              </w:rPr>
              <w:t xml:space="preserve"> at a meeting of the Summertown/</w:t>
            </w:r>
            <w:r w:rsidR="007150F6">
              <w:rPr>
                <w:rFonts w:asciiTheme="minorHAnsi" w:hAnsiTheme="minorHAnsi" w:cstheme="minorHAnsi"/>
                <w:sz w:val="20"/>
                <w:szCs w:val="20"/>
              </w:rPr>
              <w:t>St Margaret’s Neighbourhood Forum in the North Oxford Community Centre</w:t>
            </w:r>
            <w:r>
              <w:rPr>
                <w:rFonts w:asciiTheme="minorHAnsi" w:hAnsiTheme="minorHAnsi" w:cstheme="minorHAnsi"/>
                <w:sz w:val="20"/>
                <w:szCs w:val="20"/>
              </w:rPr>
              <w:t>. A s</w:t>
            </w:r>
            <w:r w:rsidR="00A53EAE">
              <w:rPr>
                <w:rFonts w:asciiTheme="minorHAnsi" w:hAnsiTheme="minorHAnsi" w:cstheme="minorHAnsi"/>
                <w:sz w:val="20"/>
                <w:szCs w:val="20"/>
              </w:rPr>
              <w:t xml:space="preserve">hort presentation </w:t>
            </w:r>
            <w:r>
              <w:rPr>
                <w:rFonts w:asciiTheme="minorHAnsi" w:hAnsiTheme="minorHAnsi" w:cstheme="minorHAnsi"/>
                <w:sz w:val="20"/>
                <w:szCs w:val="20"/>
              </w:rPr>
              <w:t xml:space="preserve">was given </w:t>
            </w:r>
            <w:r w:rsidR="00A53EAE">
              <w:rPr>
                <w:rFonts w:asciiTheme="minorHAnsi" w:hAnsiTheme="minorHAnsi" w:cstheme="minorHAnsi"/>
                <w:sz w:val="20"/>
                <w:szCs w:val="20"/>
              </w:rPr>
              <w:t>summarising the purpose and scope of the SPD</w:t>
            </w:r>
            <w:r>
              <w:rPr>
                <w:rFonts w:asciiTheme="minorHAnsi" w:hAnsiTheme="minorHAnsi" w:cstheme="minorHAnsi"/>
                <w:sz w:val="20"/>
                <w:szCs w:val="20"/>
              </w:rPr>
              <w:t>, which was followed by round</w:t>
            </w:r>
            <w:r w:rsidR="00A53EAE">
              <w:rPr>
                <w:rFonts w:asciiTheme="minorHAnsi" w:hAnsiTheme="minorHAnsi" w:cstheme="minorHAnsi"/>
                <w:sz w:val="20"/>
                <w:szCs w:val="20"/>
              </w:rPr>
              <w:t>table discussions led by officers looking at the type of development that local people would like to see on the site</w:t>
            </w:r>
            <w:r w:rsidR="007150F6">
              <w:rPr>
                <w:rFonts w:asciiTheme="minorHAnsi" w:hAnsiTheme="minorHAnsi" w:cstheme="minorHAnsi"/>
                <w:sz w:val="20"/>
                <w:szCs w:val="20"/>
              </w:rPr>
              <w:t xml:space="preserve"> (</w:t>
            </w:r>
            <w:r w:rsidR="00212005" w:rsidRPr="00212005">
              <w:rPr>
                <w:rFonts w:asciiTheme="minorHAnsi" w:hAnsiTheme="minorHAnsi" w:cstheme="minorHAnsi"/>
                <w:sz w:val="20"/>
                <w:szCs w:val="20"/>
              </w:rPr>
              <w:t>over 100</w:t>
            </w:r>
            <w:r w:rsidR="007150F6" w:rsidRPr="00212005">
              <w:rPr>
                <w:rFonts w:asciiTheme="minorHAnsi" w:hAnsiTheme="minorHAnsi" w:cstheme="minorHAnsi"/>
                <w:sz w:val="20"/>
                <w:szCs w:val="20"/>
              </w:rPr>
              <w:t xml:space="preserve"> attendees</w:t>
            </w:r>
            <w:r w:rsidR="007150F6">
              <w:rPr>
                <w:rFonts w:asciiTheme="minorHAnsi" w:hAnsiTheme="minorHAnsi" w:cstheme="minorHAnsi"/>
                <w:sz w:val="20"/>
                <w:szCs w:val="20"/>
              </w:rPr>
              <w:t>).</w:t>
            </w:r>
          </w:p>
          <w:p w:rsidR="00674076" w:rsidRPr="007150F6" w:rsidRDefault="00674076" w:rsidP="00674076">
            <w:pPr>
              <w:pStyle w:val="ListParagraph"/>
              <w:spacing w:before="60" w:after="60"/>
              <w:ind w:left="176" w:right="-46"/>
              <w:rPr>
                <w:rFonts w:asciiTheme="minorHAnsi" w:hAnsiTheme="minorHAnsi" w:cstheme="minorHAnsi"/>
                <w:sz w:val="20"/>
                <w:szCs w:val="20"/>
              </w:rPr>
            </w:pPr>
          </w:p>
        </w:tc>
        <w:tc>
          <w:tcPr>
            <w:tcW w:w="4143" w:type="dxa"/>
            <w:shd w:val="clear" w:color="auto" w:fill="E5DFEC" w:themeFill="accent4" w:themeFillTint="33"/>
          </w:tcPr>
          <w:p w:rsidR="00577D7B" w:rsidRDefault="00E01873" w:rsidP="00FD40EB">
            <w:pPr>
              <w:spacing w:before="60" w:after="60"/>
              <w:ind w:right="-46"/>
              <w:rPr>
                <w:rFonts w:asciiTheme="minorHAnsi" w:hAnsiTheme="minorHAnsi" w:cstheme="minorHAnsi"/>
                <w:sz w:val="20"/>
                <w:szCs w:val="20"/>
              </w:rPr>
            </w:pPr>
            <w:r w:rsidRPr="00E01873">
              <w:rPr>
                <w:rFonts w:ascii="Calibri" w:eastAsia="Calibri" w:hAnsi="Calibri" w:cs="Calibri"/>
                <w:b/>
                <w:noProof/>
                <w:color w:val="000000"/>
                <w:sz w:val="32"/>
                <w:szCs w:val="32"/>
                <w:lang w:eastAsia="en-GB"/>
              </w:rPr>
              <mc:AlternateContent>
                <mc:Choice Requires="wps">
                  <w:drawing>
                    <wp:anchor distT="0" distB="0" distL="114300" distR="114300" simplePos="0" relativeHeight="251799552" behindDoc="0" locked="0" layoutInCell="1" allowOverlap="1" wp14:anchorId="721C7A2D" wp14:editId="49881558">
                      <wp:simplePos x="0" y="0"/>
                      <wp:positionH relativeFrom="column">
                        <wp:posOffset>546735</wp:posOffset>
                      </wp:positionH>
                      <wp:positionV relativeFrom="paragraph">
                        <wp:posOffset>-588010</wp:posOffset>
                      </wp:positionV>
                      <wp:extent cx="2122805" cy="352425"/>
                      <wp:effectExtent l="0" t="0" r="0" b="9525"/>
                      <wp:wrapNone/>
                      <wp:docPr id="111" name="Text Box 111"/>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089" type="#_x0000_t202" style="position:absolute;margin-left:43.05pt;margin-top:-46.3pt;width:167.15pt;height:27.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FD40EB">
              <w:rPr>
                <w:rFonts w:asciiTheme="minorHAnsi" w:hAnsiTheme="minorHAnsi" w:cstheme="minorHAnsi"/>
                <w:sz w:val="20"/>
                <w:szCs w:val="20"/>
              </w:rPr>
              <w:t xml:space="preserve">The suggestions put forward at the workshop </w:t>
            </w:r>
            <w:r w:rsidR="00A53EAE">
              <w:rPr>
                <w:rFonts w:asciiTheme="minorHAnsi" w:hAnsiTheme="minorHAnsi" w:cstheme="minorHAnsi"/>
                <w:sz w:val="20"/>
                <w:szCs w:val="20"/>
              </w:rPr>
              <w:t>h</w:t>
            </w:r>
            <w:r w:rsidR="007150F6">
              <w:rPr>
                <w:rFonts w:asciiTheme="minorHAnsi" w:hAnsiTheme="minorHAnsi" w:cstheme="minorHAnsi"/>
                <w:sz w:val="20"/>
                <w:szCs w:val="20"/>
              </w:rPr>
              <w:t xml:space="preserve">elped to inform </w:t>
            </w:r>
            <w:r w:rsidR="00A53EAE">
              <w:rPr>
                <w:rFonts w:asciiTheme="minorHAnsi" w:hAnsiTheme="minorHAnsi" w:cstheme="minorHAnsi"/>
                <w:sz w:val="20"/>
                <w:szCs w:val="20"/>
              </w:rPr>
              <w:t xml:space="preserve">the </w:t>
            </w:r>
            <w:r w:rsidR="007150F6">
              <w:rPr>
                <w:rFonts w:asciiTheme="minorHAnsi" w:hAnsiTheme="minorHAnsi" w:cstheme="minorHAnsi"/>
                <w:sz w:val="20"/>
                <w:szCs w:val="20"/>
              </w:rPr>
              <w:t>d</w:t>
            </w:r>
            <w:r w:rsidR="00FD40EB">
              <w:rPr>
                <w:rFonts w:asciiTheme="minorHAnsi" w:hAnsiTheme="minorHAnsi" w:cstheme="minorHAnsi"/>
                <w:sz w:val="20"/>
                <w:szCs w:val="20"/>
              </w:rPr>
              <w:t>rafting of the</w:t>
            </w:r>
            <w:r w:rsidR="00775C63">
              <w:rPr>
                <w:rFonts w:asciiTheme="minorHAnsi" w:hAnsiTheme="minorHAnsi" w:cstheme="minorHAnsi"/>
                <w:sz w:val="20"/>
                <w:szCs w:val="20"/>
              </w:rPr>
              <w:t xml:space="preserve"> P</w:t>
            </w:r>
            <w:r w:rsidR="00046510">
              <w:rPr>
                <w:rFonts w:asciiTheme="minorHAnsi" w:hAnsiTheme="minorHAnsi" w:cstheme="minorHAnsi"/>
                <w:sz w:val="20"/>
                <w:szCs w:val="20"/>
              </w:rPr>
              <w:t>referred</w:t>
            </w:r>
            <w:r w:rsidR="00775C63">
              <w:rPr>
                <w:rFonts w:asciiTheme="minorHAnsi" w:hAnsiTheme="minorHAnsi" w:cstheme="minorHAnsi"/>
                <w:sz w:val="20"/>
                <w:szCs w:val="20"/>
              </w:rPr>
              <w:t xml:space="preserve"> O</w:t>
            </w:r>
            <w:r w:rsidR="00FD40EB">
              <w:rPr>
                <w:rFonts w:asciiTheme="minorHAnsi" w:hAnsiTheme="minorHAnsi" w:cstheme="minorHAnsi"/>
                <w:sz w:val="20"/>
                <w:szCs w:val="20"/>
              </w:rPr>
              <w:t xml:space="preserve">ptions </w:t>
            </w:r>
            <w:r w:rsidR="00046510">
              <w:rPr>
                <w:rFonts w:asciiTheme="minorHAnsi" w:hAnsiTheme="minorHAnsi" w:cstheme="minorHAnsi"/>
                <w:sz w:val="20"/>
                <w:szCs w:val="20"/>
              </w:rPr>
              <w:t>which will</w:t>
            </w:r>
            <w:r w:rsidR="00FD40EB">
              <w:rPr>
                <w:rFonts w:asciiTheme="minorHAnsi" w:hAnsiTheme="minorHAnsi" w:cstheme="minorHAnsi"/>
                <w:sz w:val="20"/>
                <w:szCs w:val="20"/>
              </w:rPr>
              <w:t xml:space="preserve"> be consulted</w:t>
            </w:r>
            <w:r w:rsidR="00046510">
              <w:rPr>
                <w:rFonts w:asciiTheme="minorHAnsi" w:hAnsiTheme="minorHAnsi" w:cstheme="minorHAnsi"/>
                <w:sz w:val="20"/>
                <w:szCs w:val="20"/>
              </w:rPr>
              <w:t xml:space="preserve"> on</w:t>
            </w:r>
            <w:r w:rsidR="00FD40EB">
              <w:rPr>
                <w:rFonts w:asciiTheme="minorHAnsi" w:hAnsiTheme="minorHAnsi" w:cstheme="minorHAnsi"/>
                <w:sz w:val="20"/>
                <w:szCs w:val="20"/>
              </w:rPr>
              <w:t xml:space="preserve"> during the 2014/15 monitoring period.</w:t>
            </w:r>
          </w:p>
          <w:p w:rsidR="005452DF" w:rsidRPr="00676D47" w:rsidRDefault="005452DF" w:rsidP="00FD40EB">
            <w:pPr>
              <w:spacing w:before="60" w:after="60"/>
              <w:ind w:right="-46"/>
              <w:rPr>
                <w:rFonts w:asciiTheme="minorHAnsi" w:hAnsiTheme="minorHAnsi" w:cstheme="minorHAnsi"/>
                <w:sz w:val="4"/>
                <w:szCs w:val="4"/>
              </w:rPr>
            </w:pPr>
          </w:p>
          <w:p w:rsidR="00FD40EB" w:rsidRDefault="005452DF" w:rsidP="00676D47">
            <w:pPr>
              <w:spacing w:before="60" w:after="60"/>
              <w:ind w:right="-46"/>
              <w:rPr>
                <w:rFonts w:asciiTheme="minorHAnsi" w:hAnsiTheme="minorHAnsi" w:cstheme="minorHAnsi"/>
                <w:sz w:val="20"/>
                <w:szCs w:val="20"/>
              </w:rPr>
            </w:pPr>
            <w:r>
              <w:rPr>
                <w:rFonts w:asciiTheme="minorHAnsi" w:hAnsiTheme="minorHAnsi" w:cstheme="minorHAnsi"/>
                <w:sz w:val="20"/>
                <w:szCs w:val="20"/>
              </w:rPr>
              <w:t>Participants were asked to provide feedback on the workshop. 49 responses were received</w:t>
            </w:r>
            <w:r w:rsidR="00676D47">
              <w:rPr>
                <w:rFonts w:asciiTheme="minorHAnsi" w:hAnsiTheme="minorHAnsi" w:cstheme="minorHAnsi"/>
                <w:sz w:val="20"/>
                <w:szCs w:val="20"/>
              </w:rPr>
              <w:t>:</w:t>
            </w:r>
          </w:p>
          <w:p w:rsidR="00676D47" w:rsidRPr="00676D47" w:rsidRDefault="00676D47" w:rsidP="00676D47">
            <w:pPr>
              <w:spacing w:before="60" w:after="60"/>
              <w:ind w:right="-46"/>
              <w:rPr>
                <w:rFonts w:asciiTheme="minorHAnsi" w:hAnsiTheme="minorHAnsi" w:cstheme="minorHAnsi"/>
                <w:sz w:val="6"/>
                <w:szCs w:val="6"/>
              </w:rPr>
            </w:pPr>
          </w:p>
          <w:tbl>
            <w:tblPr>
              <w:tblStyle w:val="TableGrid"/>
              <w:tblW w:w="4148" w:type="dxa"/>
              <w:tblBorders>
                <w:top w:val="none" w:sz="0" w:space="0" w:color="auto"/>
                <w:left w:val="none" w:sz="0" w:space="0" w:color="auto"/>
                <w:bottom w:val="none" w:sz="0" w:space="0" w:color="auto"/>
                <w:right w:val="none" w:sz="0" w:space="0" w:color="auto"/>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1535"/>
              <w:gridCol w:w="871"/>
              <w:gridCol w:w="871"/>
              <w:gridCol w:w="871"/>
            </w:tblGrid>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Good</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Ok</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Poor</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Overall Opinion</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33</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13</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Right Info.</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31</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15</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2</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Atmosphere</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48</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0</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Discussion</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33</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13</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2</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Methods</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32</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2</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Facilities</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24</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18</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7</w:t>
                  </w:r>
                </w:p>
              </w:tc>
            </w:tr>
            <w:tr w:rsidR="00676D47" w:rsidTr="00676D47">
              <w:tc>
                <w:tcPr>
                  <w:tcW w:w="1535" w:type="dxa"/>
                  <w:shd w:val="clear" w:color="auto" w:fill="E5DFEC" w:themeFill="accent4" w:themeFillTint="33"/>
                </w:tcPr>
                <w:p w:rsidR="00676D47" w:rsidRDefault="00676D47" w:rsidP="00676D47">
                  <w:pPr>
                    <w:ind w:right="-45"/>
                    <w:rPr>
                      <w:rFonts w:asciiTheme="minorHAnsi" w:hAnsiTheme="minorHAnsi" w:cstheme="minorHAnsi"/>
                      <w:sz w:val="20"/>
                      <w:szCs w:val="20"/>
                    </w:rPr>
                  </w:pPr>
                  <w:r>
                    <w:rPr>
                      <w:rFonts w:asciiTheme="minorHAnsi" w:hAnsiTheme="minorHAnsi" w:cstheme="minorHAnsi"/>
                      <w:sz w:val="20"/>
                      <w:szCs w:val="20"/>
                    </w:rPr>
                    <w:t>Location</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37</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11</w:t>
                  </w:r>
                </w:p>
              </w:tc>
              <w:tc>
                <w:tcPr>
                  <w:tcW w:w="871" w:type="dxa"/>
                  <w:shd w:val="clear" w:color="auto" w:fill="E5DFEC" w:themeFill="accent4" w:themeFillTint="33"/>
                </w:tcPr>
                <w:p w:rsidR="00676D47" w:rsidRDefault="00676D47" w:rsidP="00676D47">
                  <w:pPr>
                    <w:ind w:right="-45"/>
                    <w:jc w:val="center"/>
                    <w:rPr>
                      <w:rFonts w:asciiTheme="minorHAnsi" w:hAnsiTheme="minorHAnsi" w:cstheme="minorHAnsi"/>
                      <w:sz w:val="20"/>
                      <w:szCs w:val="20"/>
                    </w:rPr>
                  </w:pPr>
                  <w:r>
                    <w:rPr>
                      <w:rFonts w:asciiTheme="minorHAnsi" w:hAnsiTheme="minorHAnsi" w:cstheme="minorHAnsi"/>
                      <w:sz w:val="20"/>
                      <w:szCs w:val="20"/>
                    </w:rPr>
                    <w:t>1</w:t>
                  </w:r>
                </w:p>
              </w:tc>
            </w:tr>
          </w:tbl>
          <w:p w:rsidR="00676D47" w:rsidRPr="00C71B08" w:rsidRDefault="00E2063F" w:rsidP="00E2063F">
            <w:pPr>
              <w:spacing w:before="60" w:after="60"/>
              <w:ind w:right="-46"/>
              <w:rPr>
                <w:rFonts w:asciiTheme="minorHAnsi" w:hAnsiTheme="minorHAnsi" w:cstheme="minorHAnsi"/>
                <w:sz w:val="20"/>
                <w:szCs w:val="20"/>
              </w:rPr>
            </w:pPr>
            <w:r>
              <w:rPr>
                <w:rFonts w:asciiTheme="minorHAnsi" w:hAnsiTheme="minorHAnsi" w:cstheme="minorHAnsi"/>
                <w:sz w:val="20"/>
                <w:szCs w:val="20"/>
              </w:rPr>
              <w:t>M</w:t>
            </w:r>
            <w:r w:rsidR="00676D47">
              <w:rPr>
                <w:rFonts w:asciiTheme="minorHAnsi" w:hAnsiTheme="minorHAnsi" w:cstheme="minorHAnsi"/>
                <w:sz w:val="20"/>
                <w:szCs w:val="20"/>
              </w:rPr>
              <w:t>any additional</w:t>
            </w:r>
            <w:r>
              <w:rPr>
                <w:rFonts w:asciiTheme="minorHAnsi" w:hAnsiTheme="minorHAnsi" w:cstheme="minorHAnsi"/>
                <w:sz w:val="20"/>
                <w:szCs w:val="20"/>
              </w:rPr>
              <w:t>,</w:t>
            </w:r>
            <w:r w:rsidR="00676D47">
              <w:rPr>
                <w:rFonts w:asciiTheme="minorHAnsi" w:hAnsiTheme="minorHAnsi" w:cstheme="minorHAnsi"/>
                <w:sz w:val="20"/>
                <w:szCs w:val="20"/>
              </w:rPr>
              <w:t xml:space="preserve"> positive comments relating to the structure and facilitation of the event</w:t>
            </w:r>
            <w:r>
              <w:rPr>
                <w:rFonts w:asciiTheme="minorHAnsi" w:hAnsiTheme="minorHAnsi" w:cstheme="minorHAnsi"/>
                <w:sz w:val="20"/>
                <w:szCs w:val="20"/>
              </w:rPr>
              <w:t xml:space="preserve"> were also received</w:t>
            </w:r>
            <w:r w:rsidR="00676D47">
              <w:rPr>
                <w:rFonts w:asciiTheme="minorHAnsi" w:hAnsiTheme="minorHAnsi" w:cstheme="minorHAnsi"/>
                <w:sz w:val="20"/>
                <w:szCs w:val="20"/>
              </w:rPr>
              <w:t>. Addressing overcrowding and difficulties hearing speakers were the main improvements suggested.</w:t>
            </w:r>
          </w:p>
        </w:tc>
      </w:tr>
      <w:tr w:rsidR="009B1093" w:rsidTr="009B1093">
        <w:tc>
          <w:tcPr>
            <w:tcW w:w="2376" w:type="dxa"/>
            <w:shd w:val="clear" w:color="auto" w:fill="CCC0D9" w:themeFill="accent4" w:themeFillTint="66"/>
          </w:tcPr>
          <w:p w:rsidR="00C71B08" w:rsidRPr="009B1093" w:rsidRDefault="00C71B08" w:rsidP="00811359">
            <w:pPr>
              <w:spacing w:before="60" w:after="60"/>
              <w:rPr>
                <w:rFonts w:asciiTheme="minorHAnsi" w:eastAsia="Times New Roman" w:hAnsiTheme="minorHAnsi" w:cstheme="minorHAnsi"/>
                <w:b/>
                <w:color w:val="403152" w:themeColor="accent4" w:themeShade="80"/>
                <w:sz w:val="20"/>
                <w:szCs w:val="20"/>
              </w:rPr>
            </w:pPr>
            <w:r w:rsidRPr="00431C8D">
              <w:rPr>
                <w:rFonts w:asciiTheme="minorHAnsi" w:eastAsia="Times New Roman" w:hAnsiTheme="minorHAnsi" w:cstheme="minorHAnsi"/>
                <w:b/>
                <w:color w:val="403152" w:themeColor="accent4" w:themeShade="80"/>
                <w:sz w:val="20"/>
                <w:szCs w:val="20"/>
              </w:rPr>
              <w:t>Affordable Housing SPD</w:t>
            </w:r>
          </w:p>
        </w:tc>
        <w:tc>
          <w:tcPr>
            <w:tcW w:w="1843" w:type="dxa"/>
            <w:shd w:val="clear" w:color="auto" w:fill="EEEAF2"/>
          </w:tcPr>
          <w:p w:rsidR="00C71B08" w:rsidRPr="00C71B08" w:rsidRDefault="002A60FE"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Draft Document</w:t>
            </w:r>
          </w:p>
        </w:tc>
        <w:tc>
          <w:tcPr>
            <w:tcW w:w="1701" w:type="dxa"/>
            <w:shd w:val="clear" w:color="auto" w:fill="EEEAF2"/>
          </w:tcPr>
          <w:p w:rsidR="003D734F" w:rsidRDefault="003D734F" w:rsidP="003D734F">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12 April -</w:t>
            </w:r>
          </w:p>
          <w:p w:rsidR="00C71B08" w:rsidRPr="00C71B08" w:rsidRDefault="003D734F" w:rsidP="003D734F">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24 May 2013</w:t>
            </w:r>
          </w:p>
        </w:tc>
        <w:tc>
          <w:tcPr>
            <w:tcW w:w="4111" w:type="dxa"/>
            <w:shd w:val="clear" w:color="auto" w:fill="EEEAF2"/>
          </w:tcPr>
          <w:p w:rsidR="00C71B08" w:rsidRDefault="002A60FE" w:rsidP="004335B5">
            <w:pPr>
              <w:pStyle w:val="ListParagraph"/>
              <w:numPr>
                <w:ilvl w:val="0"/>
                <w:numId w:val="12"/>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 xml:space="preserve">The draft SPD, supporting information and comment forms were made available online via the Council’s website, in paper form at the Council’s offices in St </w:t>
            </w:r>
            <w:proofErr w:type="spellStart"/>
            <w:r>
              <w:rPr>
                <w:rFonts w:asciiTheme="minorHAnsi" w:hAnsiTheme="minorHAnsi" w:cstheme="minorHAnsi"/>
                <w:sz w:val="20"/>
                <w:szCs w:val="20"/>
              </w:rPr>
              <w:t>Aldate’s</w:t>
            </w:r>
            <w:proofErr w:type="spellEnd"/>
            <w:r>
              <w:rPr>
                <w:rFonts w:asciiTheme="minorHAnsi" w:hAnsiTheme="minorHAnsi" w:cstheme="minorHAnsi"/>
                <w:sz w:val="20"/>
                <w:szCs w:val="20"/>
              </w:rPr>
              <w:t xml:space="preserve"> Chambers and in paper form at libraries within the </w:t>
            </w:r>
            <w:r w:rsidR="00763006">
              <w:rPr>
                <w:rFonts w:asciiTheme="minorHAnsi" w:hAnsiTheme="minorHAnsi" w:cstheme="minorHAnsi"/>
                <w:sz w:val="20"/>
                <w:szCs w:val="20"/>
              </w:rPr>
              <w:t>city</w:t>
            </w:r>
            <w:r>
              <w:rPr>
                <w:rFonts w:asciiTheme="minorHAnsi" w:hAnsiTheme="minorHAnsi" w:cstheme="minorHAnsi"/>
                <w:sz w:val="20"/>
                <w:szCs w:val="20"/>
              </w:rPr>
              <w:t>.</w:t>
            </w:r>
          </w:p>
          <w:p w:rsidR="002A60FE" w:rsidRDefault="002A60FE" w:rsidP="004335B5">
            <w:pPr>
              <w:pStyle w:val="ListParagraph"/>
              <w:numPr>
                <w:ilvl w:val="0"/>
                <w:numId w:val="12"/>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An invitation to comment was sent to statutory bodies, known contacts withi</w:t>
            </w:r>
            <w:r w:rsidR="00775C63">
              <w:rPr>
                <w:rFonts w:asciiTheme="minorHAnsi" w:hAnsiTheme="minorHAnsi" w:cstheme="minorHAnsi"/>
                <w:sz w:val="20"/>
                <w:szCs w:val="20"/>
              </w:rPr>
              <w:t>n the development industry and r</w:t>
            </w:r>
            <w:r>
              <w:rPr>
                <w:rFonts w:asciiTheme="minorHAnsi" w:hAnsiTheme="minorHAnsi" w:cstheme="minorHAnsi"/>
                <w:sz w:val="20"/>
                <w:szCs w:val="20"/>
              </w:rPr>
              <w:t xml:space="preserve">egistered providers of social housing. </w:t>
            </w:r>
          </w:p>
          <w:p w:rsidR="002A60FE" w:rsidRDefault="002A60FE" w:rsidP="004335B5">
            <w:pPr>
              <w:pStyle w:val="ListParagraph"/>
              <w:numPr>
                <w:ilvl w:val="0"/>
                <w:numId w:val="12"/>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Press release.</w:t>
            </w:r>
          </w:p>
          <w:p w:rsidR="00674076" w:rsidRPr="002A60FE" w:rsidRDefault="00674076" w:rsidP="00674076">
            <w:pPr>
              <w:pStyle w:val="ListParagraph"/>
              <w:spacing w:before="60" w:after="60"/>
              <w:ind w:left="176" w:right="-46"/>
              <w:rPr>
                <w:rFonts w:asciiTheme="minorHAnsi" w:hAnsiTheme="minorHAnsi" w:cstheme="minorHAnsi"/>
                <w:sz w:val="20"/>
                <w:szCs w:val="20"/>
              </w:rPr>
            </w:pPr>
          </w:p>
        </w:tc>
        <w:tc>
          <w:tcPr>
            <w:tcW w:w="4143" w:type="dxa"/>
            <w:shd w:val="clear" w:color="auto" w:fill="EEEAF2"/>
          </w:tcPr>
          <w:p w:rsidR="00C71B08" w:rsidRPr="00C71B08" w:rsidRDefault="004507DD" w:rsidP="00FE5426">
            <w:pPr>
              <w:spacing w:before="60" w:after="60"/>
              <w:ind w:right="-46"/>
              <w:rPr>
                <w:rFonts w:asciiTheme="minorHAnsi" w:hAnsiTheme="minorHAnsi" w:cstheme="minorHAnsi"/>
                <w:sz w:val="20"/>
                <w:szCs w:val="20"/>
              </w:rPr>
            </w:pPr>
            <w:r>
              <w:rPr>
                <w:rFonts w:asciiTheme="minorHAnsi" w:hAnsiTheme="minorHAnsi" w:cstheme="minorHAnsi"/>
                <w:sz w:val="20"/>
                <w:szCs w:val="20"/>
              </w:rPr>
              <w:t xml:space="preserve">The City Council </w:t>
            </w:r>
            <w:r w:rsidR="00FE5426">
              <w:rPr>
                <w:rFonts w:asciiTheme="minorHAnsi" w:hAnsiTheme="minorHAnsi" w:cstheme="minorHAnsi"/>
                <w:sz w:val="20"/>
                <w:szCs w:val="20"/>
              </w:rPr>
              <w:t xml:space="preserve">reviewed the </w:t>
            </w:r>
            <w:r>
              <w:rPr>
                <w:rFonts w:asciiTheme="minorHAnsi" w:hAnsiTheme="minorHAnsi" w:cstheme="minorHAnsi"/>
                <w:sz w:val="20"/>
                <w:szCs w:val="20"/>
              </w:rPr>
              <w:t>issues raised through the consultation and</w:t>
            </w:r>
            <w:r w:rsidR="00FE5426">
              <w:rPr>
                <w:rFonts w:asciiTheme="minorHAnsi" w:hAnsiTheme="minorHAnsi" w:cstheme="minorHAnsi"/>
                <w:sz w:val="20"/>
                <w:szCs w:val="20"/>
              </w:rPr>
              <w:t xml:space="preserve">, where necessary, </w:t>
            </w:r>
            <w:r>
              <w:rPr>
                <w:rFonts w:asciiTheme="minorHAnsi" w:hAnsiTheme="minorHAnsi" w:cstheme="minorHAnsi"/>
                <w:sz w:val="20"/>
                <w:szCs w:val="20"/>
              </w:rPr>
              <w:t>made changes</w:t>
            </w:r>
            <w:r w:rsidR="002A60FE" w:rsidRPr="002A60FE">
              <w:rPr>
                <w:rFonts w:asciiTheme="minorHAnsi" w:hAnsiTheme="minorHAnsi" w:cstheme="minorHAnsi"/>
                <w:sz w:val="20"/>
                <w:szCs w:val="20"/>
              </w:rPr>
              <w:t xml:space="preserve"> to the SPD</w:t>
            </w:r>
            <w:r w:rsidR="00FE5426">
              <w:rPr>
                <w:rFonts w:asciiTheme="minorHAnsi" w:hAnsiTheme="minorHAnsi" w:cstheme="minorHAnsi"/>
                <w:sz w:val="20"/>
                <w:szCs w:val="20"/>
              </w:rPr>
              <w:t>.</w:t>
            </w:r>
          </w:p>
        </w:tc>
      </w:tr>
      <w:tr w:rsidR="00470775" w:rsidTr="009B1093">
        <w:tc>
          <w:tcPr>
            <w:tcW w:w="2376" w:type="dxa"/>
            <w:vMerge w:val="restart"/>
            <w:shd w:val="clear" w:color="auto" w:fill="CCC0D9" w:themeFill="accent4" w:themeFillTint="66"/>
          </w:tcPr>
          <w:p w:rsidR="00470775" w:rsidRDefault="00470775" w:rsidP="00811359">
            <w:pPr>
              <w:spacing w:before="60" w:after="60"/>
              <w:ind w:right="-46"/>
              <w:rPr>
                <w:rFonts w:asciiTheme="minorHAnsi" w:hAnsiTheme="minorHAnsi" w:cstheme="minorHAnsi"/>
                <w:b/>
                <w:color w:val="403152" w:themeColor="accent4" w:themeShade="80"/>
                <w:sz w:val="20"/>
                <w:szCs w:val="20"/>
              </w:rPr>
            </w:pPr>
            <w:r w:rsidRPr="009B1093">
              <w:rPr>
                <w:rFonts w:asciiTheme="minorHAnsi" w:hAnsiTheme="minorHAnsi" w:cstheme="minorHAnsi"/>
                <w:b/>
                <w:color w:val="403152" w:themeColor="accent4" w:themeShade="80"/>
                <w:sz w:val="20"/>
                <w:szCs w:val="20"/>
              </w:rPr>
              <w:t>Jericho SPD</w:t>
            </w: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Default="00E3384F" w:rsidP="00811359">
            <w:pPr>
              <w:spacing w:before="60" w:after="60"/>
              <w:ind w:right="-46"/>
              <w:rPr>
                <w:rFonts w:asciiTheme="minorHAnsi" w:hAnsiTheme="minorHAnsi" w:cstheme="minorHAnsi"/>
                <w:b/>
                <w:color w:val="403152" w:themeColor="accent4" w:themeShade="80"/>
                <w:sz w:val="20"/>
                <w:szCs w:val="20"/>
              </w:rPr>
            </w:pPr>
          </w:p>
          <w:p w:rsidR="00E3384F" w:rsidRPr="009B1093" w:rsidRDefault="00E3384F" w:rsidP="00811359">
            <w:pPr>
              <w:spacing w:before="60" w:after="60"/>
              <w:ind w:right="-46"/>
              <w:rPr>
                <w:rFonts w:asciiTheme="minorHAnsi" w:hAnsiTheme="minorHAnsi" w:cstheme="minorHAnsi"/>
                <w:b/>
                <w:color w:val="403152" w:themeColor="accent4" w:themeShade="80"/>
                <w:sz w:val="20"/>
                <w:szCs w:val="20"/>
              </w:rPr>
            </w:pPr>
          </w:p>
        </w:tc>
        <w:tc>
          <w:tcPr>
            <w:tcW w:w="1843" w:type="dxa"/>
            <w:shd w:val="clear" w:color="auto" w:fill="E5DFEC" w:themeFill="accent4" w:themeFillTint="33"/>
          </w:tcPr>
          <w:p w:rsidR="00470775" w:rsidRPr="00C71B08" w:rsidRDefault="00674076"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lastRenderedPageBreak/>
              <w:t>Draft Document</w:t>
            </w:r>
          </w:p>
        </w:tc>
        <w:tc>
          <w:tcPr>
            <w:tcW w:w="1701" w:type="dxa"/>
            <w:shd w:val="clear" w:color="auto" w:fill="E5DFEC" w:themeFill="accent4" w:themeFillTint="33"/>
          </w:tcPr>
          <w:p w:rsidR="00FE5426" w:rsidRDefault="00FE5426" w:rsidP="00FE5426">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 xml:space="preserve">13 September - </w:t>
            </w:r>
          </w:p>
          <w:p w:rsidR="00470775" w:rsidRPr="00C71B08" w:rsidRDefault="00FE5426" w:rsidP="00FE5426">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25 October 2013</w:t>
            </w:r>
          </w:p>
        </w:tc>
        <w:tc>
          <w:tcPr>
            <w:tcW w:w="4111" w:type="dxa"/>
            <w:shd w:val="clear" w:color="auto" w:fill="E5DFEC" w:themeFill="accent4" w:themeFillTint="33"/>
          </w:tcPr>
          <w:p w:rsidR="00470775" w:rsidRDefault="00FE5426" w:rsidP="004335B5">
            <w:pPr>
              <w:pStyle w:val="ListParagraph"/>
              <w:numPr>
                <w:ilvl w:val="0"/>
                <w:numId w:val="14"/>
              </w:numPr>
              <w:spacing w:before="60" w:after="60"/>
              <w:ind w:left="176" w:right="-46" w:hanging="142"/>
              <w:rPr>
                <w:rFonts w:asciiTheme="minorHAnsi" w:hAnsiTheme="minorHAnsi" w:cstheme="minorHAnsi"/>
                <w:sz w:val="20"/>
                <w:szCs w:val="20"/>
              </w:rPr>
            </w:pPr>
            <w:r>
              <w:rPr>
                <w:rFonts w:asciiTheme="minorHAnsi" w:hAnsiTheme="minorHAnsi" w:cstheme="minorHAnsi"/>
                <w:sz w:val="20"/>
                <w:szCs w:val="20"/>
              </w:rPr>
              <w:t xml:space="preserve">Flyers hand delivered to approximately 1,000 addresses in Jericho and </w:t>
            </w:r>
            <w:proofErr w:type="spellStart"/>
            <w:r>
              <w:rPr>
                <w:rFonts w:asciiTheme="minorHAnsi" w:hAnsiTheme="minorHAnsi" w:cstheme="minorHAnsi"/>
                <w:sz w:val="20"/>
                <w:szCs w:val="20"/>
              </w:rPr>
              <w:t>Rewley</w:t>
            </w:r>
            <w:proofErr w:type="spellEnd"/>
            <w:r>
              <w:rPr>
                <w:rFonts w:asciiTheme="minorHAnsi" w:hAnsiTheme="minorHAnsi" w:cstheme="minorHAnsi"/>
                <w:sz w:val="20"/>
                <w:szCs w:val="20"/>
              </w:rPr>
              <w:t xml:space="preserve"> Park distributed by the Jericho Community </w:t>
            </w:r>
            <w:r>
              <w:rPr>
                <w:rFonts w:asciiTheme="minorHAnsi" w:hAnsiTheme="minorHAnsi" w:cstheme="minorHAnsi"/>
                <w:sz w:val="20"/>
                <w:szCs w:val="20"/>
              </w:rPr>
              <w:lastRenderedPageBreak/>
              <w:t>Association.</w:t>
            </w:r>
          </w:p>
          <w:p w:rsidR="00DE511C" w:rsidRDefault="00E2063F" w:rsidP="004335B5">
            <w:pPr>
              <w:pStyle w:val="ListParagraph"/>
              <w:numPr>
                <w:ilvl w:val="0"/>
                <w:numId w:val="14"/>
              </w:numPr>
              <w:spacing w:before="60" w:after="60"/>
              <w:ind w:left="176" w:right="-46" w:hanging="142"/>
              <w:rPr>
                <w:rFonts w:asciiTheme="minorHAnsi" w:hAnsiTheme="minorHAnsi" w:cstheme="minorHAnsi"/>
                <w:sz w:val="20"/>
                <w:szCs w:val="20"/>
              </w:rPr>
            </w:pPr>
            <w:r w:rsidRPr="00E01873">
              <w:rPr>
                <w:rFonts w:ascii="Calibri" w:eastAsia="Calibri" w:hAnsi="Calibri" w:cs="Calibri"/>
                <w:b/>
                <w:noProof/>
                <w:color w:val="000000"/>
                <w:sz w:val="32"/>
                <w:szCs w:val="32"/>
                <w:lang w:eastAsia="en-GB"/>
              </w:rPr>
              <mc:AlternateContent>
                <mc:Choice Requires="wps">
                  <w:drawing>
                    <wp:anchor distT="0" distB="0" distL="114300" distR="114300" simplePos="0" relativeHeight="251795456" behindDoc="0" locked="0" layoutInCell="1" allowOverlap="1" wp14:anchorId="2CA2A572" wp14:editId="76B1DFF3">
                      <wp:simplePos x="0" y="0"/>
                      <wp:positionH relativeFrom="column">
                        <wp:posOffset>3171825</wp:posOffset>
                      </wp:positionH>
                      <wp:positionV relativeFrom="paragraph">
                        <wp:posOffset>-704215</wp:posOffset>
                      </wp:positionV>
                      <wp:extent cx="2122805" cy="352425"/>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90" type="#_x0000_t202" style="position:absolute;left:0;text-align:left;margin-left:249.75pt;margin-top:-55.45pt;width:167.15pt;height:27.7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FE5426">
              <w:rPr>
                <w:rFonts w:asciiTheme="minorHAnsi" w:hAnsiTheme="minorHAnsi" w:cstheme="minorHAnsi"/>
                <w:sz w:val="20"/>
                <w:szCs w:val="20"/>
              </w:rPr>
              <w:t xml:space="preserve">Direct invitations to comment sent by letter/email to statutory </w:t>
            </w:r>
            <w:proofErr w:type="spellStart"/>
            <w:r w:rsidR="00FE5426">
              <w:rPr>
                <w:rFonts w:asciiTheme="minorHAnsi" w:hAnsiTheme="minorHAnsi" w:cstheme="minorHAnsi"/>
                <w:sz w:val="20"/>
                <w:szCs w:val="20"/>
              </w:rPr>
              <w:t>consultees</w:t>
            </w:r>
            <w:proofErr w:type="spellEnd"/>
            <w:r w:rsidR="00FE5426">
              <w:rPr>
                <w:rFonts w:asciiTheme="minorHAnsi" w:hAnsiTheme="minorHAnsi" w:cstheme="minorHAnsi"/>
                <w:sz w:val="20"/>
                <w:szCs w:val="20"/>
              </w:rPr>
              <w:t>, landowners, local interest groups, canal related organisations, heritage groups, neighbour</w:t>
            </w:r>
            <w:r w:rsidR="00775C63">
              <w:rPr>
                <w:rFonts w:asciiTheme="minorHAnsi" w:hAnsiTheme="minorHAnsi" w:cstheme="minorHAnsi"/>
                <w:sz w:val="20"/>
                <w:szCs w:val="20"/>
              </w:rPr>
              <w:t>hood</w:t>
            </w:r>
            <w:r w:rsidR="00FE5426">
              <w:rPr>
                <w:rFonts w:asciiTheme="minorHAnsi" w:hAnsiTheme="minorHAnsi" w:cstheme="minorHAnsi"/>
                <w:sz w:val="20"/>
                <w:szCs w:val="20"/>
              </w:rPr>
              <w:t xml:space="preserve"> organisations, people registered on the Council’s online consultation portal and people who responded to the earlier consultation and requested further contact</w:t>
            </w:r>
            <w:r w:rsidR="00DE511C">
              <w:rPr>
                <w:rFonts w:asciiTheme="minorHAnsi" w:hAnsiTheme="minorHAnsi" w:cstheme="minorHAnsi"/>
                <w:sz w:val="20"/>
                <w:szCs w:val="20"/>
              </w:rPr>
              <w:t>.</w:t>
            </w:r>
          </w:p>
          <w:p w:rsidR="00FE5426" w:rsidRPr="00775C63" w:rsidRDefault="00FE5426" w:rsidP="00775C63">
            <w:pPr>
              <w:spacing w:before="60" w:after="60"/>
              <w:ind w:right="-46"/>
              <w:rPr>
                <w:rFonts w:asciiTheme="minorHAnsi" w:hAnsiTheme="minorHAnsi" w:cstheme="minorHAnsi"/>
                <w:sz w:val="20"/>
                <w:szCs w:val="20"/>
              </w:rPr>
            </w:pPr>
          </w:p>
        </w:tc>
        <w:tc>
          <w:tcPr>
            <w:tcW w:w="4143" w:type="dxa"/>
            <w:shd w:val="clear" w:color="auto" w:fill="E5DFEC" w:themeFill="accent4" w:themeFillTint="33"/>
          </w:tcPr>
          <w:p w:rsidR="00470775" w:rsidRPr="00C71B08" w:rsidRDefault="00FE5426" w:rsidP="00FE5426">
            <w:pPr>
              <w:spacing w:before="60" w:after="60"/>
              <w:ind w:right="-46"/>
              <w:rPr>
                <w:rFonts w:asciiTheme="minorHAnsi" w:hAnsiTheme="minorHAnsi" w:cstheme="minorHAnsi"/>
                <w:sz w:val="20"/>
                <w:szCs w:val="20"/>
              </w:rPr>
            </w:pPr>
            <w:r w:rsidRPr="00FE5426">
              <w:rPr>
                <w:rFonts w:asciiTheme="minorHAnsi" w:hAnsiTheme="minorHAnsi" w:cstheme="minorHAnsi"/>
                <w:sz w:val="20"/>
                <w:szCs w:val="20"/>
              </w:rPr>
              <w:lastRenderedPageBreak/>
              <w:t>The City Council reviewed the issues raised through the consultation and, where necessary, made changes to the SPD.</w:t>
            </w:r>
          </w:p>
        </w:tc>
      </w:tr>
      <w:tr w:rsidR="00470775" w:rsidTr="009B1093">
        <w:tc>
          <w:tcPr>
            <w:tcW w:w="2376" w:type="dxa"/>
            <w:vMerge/>
            <w:shd w:val="clear" w:color="auto" w:fill="CCC0D9" w:themeFill="accent4" w:themeFillTint="66"/>
          </w:tcPr>
          <w:p w:rsidR="00470775" w:rsidRPr="009B1093" w:rsidRDefault="00470775" w:rsidP="00811359">
            <w:pPr>
              <w:spacing w:before="60" w:after="60"/>
              <w:ind w:right="-46"/>
              <w:rPr>
                <w:rFonts w:asciiTheme="minorHAnsi" w:hAnsiTheme="minorHAnsi" w:cstheme="minorHAnsi"/>
                <w:b/>
                <w:color w:val="403152" w:themeColor="accent4" w:themeShade="80"/>
                <w:sz w:val="20"/>
                <w:szCs w:val="20"/>
              </w:rPr>
            </w:pPr>
          </w:p>
        </w:tc>
        <w:tc>
          <w:tcPr>
            <w:tcW w:w="1843" w:type="dxa"/>
            <w:shd w:val="clear" w:color="auto" w:fill="EEEAF2"/>
          </w:tcPr>
          <w:p w:rsidR="00470775" w:rsidRPr="00C71B08" w:rsidRDefault="00470775"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Pre-production consultation</w:t>
            </w:r>
          </w:p>
        </w:tc>
        <w:tc>
          <w:tcPr>
            <w:tcW w:w="1701" w:type="dxa"/>
            <w:shd w:val="clear" w:color="auto" w:fill="EEEAF2"/>
          </w:tcPr>
          <w:p w:rsidR="00470775" w:rsidRPr="00C71B08" w:rsidRDefault="00674076" w:rsidP="00674076">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July 2013</w:t>
            </w:r>
          </w:p>
        </w:tc>
        <w:tc>
          <w:tcPr>
            <w:tcW w:w="4111" w:type="dxa"/>
            <w:shd w:val="clear" w:color="auto" w:fill="EEEAF2"/>
          </w:tcPr>
          <w:p w:rsidR="00674076" w:rsidRDefault="00674076" w:rsidP="004335B5">
            <w:pPr>
              <w:pStyle w:val="Default"/>
              <w:numPr>
                <w:ilvl w:val="0"/>
                <w:numId w:val="13"/>
              </w:numPr>
              <w:ind w:left="176" w:hanging="142"/>
              <w:rPr>
                <w:rFonts w:asciiTheme="minorHAnsi" w:hAnsiTheme="minorHAnsi" w:cstheme="minorHAnsi"/>
                <w:sz w:val="20"/>
                <w:szCs w:val="20"/>
              </w:rPr>
            </w:pPr>
            <w:r w:rsidRPr="00674076">
              <w:rPr>
                <w:rFonts w:asciiTheme="minorHAnsi" w:hAnsiTheme="minorHAnsi" w:cstheme="minorHAnsi"/>
                <w:sz w:val="20"/>
                <w:szCs w:val="20"/>
              </w:rPr>
              <w:t>Drop</w:t>
            </w:r>
            <w:r>
              <w:rPr>
                <w:rFonts w:asciiTheme="minorHAnsi" w:hAnsiTheme="minorHAnsi" w:cstheme="minorHAnsi"/>
                <w:sz w:val="20"/>
                <w:szCs w:val="20"/>
              </w:rPr>
              <w:t xml:space="preserve"> in event for people of Jericho held at the Jericho Community Centre on 10</w:t>
            </w:r>
            <w:r w:rsidRPr="00674076">
              <w:rPr>
                <w:rFonts w:asciiTheme="minorHAnsi" w:hAnsiTheme="minorHAnsi" w:cstheme="minorHAnsi"/>
                <w:sz w:val="20"/>
                <w:szCs w:val="20"/>
                <w:vertAlign w:val="superscript"/>
              </w:rPr>
              <w:t>th</w:t>
            </w:r>
            <w:r>
              <w:rPr>
                <w:rFonts w:asciiTheme="minorHAnsi" w:hAnsiTheme="minorHAnsi" w:cstheme="minorHAnsi"/>
                <w:sz w:val="20"/>
                <w:szCs w:val="20"/>
              </w:rPr>
              <w:t xml:space="preserve"> July 2013 from 3:30-7:30pm. </w:t>
            </w:r>
            <w:r w:rsidRPr="00674076">
              <w:rPr>
                <w:rFonts w:asciiTheme="minorHAnsi" w:hAnsiTheme="minorHAnsi" w:cstheme="minorHAnsi"/>
                <w:sz w:val="20"/>
                <w:szCs w:val="20"/>
              </w:rPr>
              <w:t>The event was mainly advertised through a flyer produced</w:t>
            </w:r>
            <w:r>
              <w:rPr>
                <w:rFonts w:asciiTheme="minorHAnsi" w:hAnsiTheme="minorHAnsi" w:cstheme="minorHAnsi"/>
                <w:sz w:val="20"/>
                <w:szCs w:val="20"/>
              </w:rPr>
              <w:t xml:space="preserve"> by the City Council and </w:t>
            </w:r>
            <w:r w:rsidRPr="00674076">
              <w:rPr>
                <w:rFonts w:asciiTheme="minorHAnsi" w:hAnsiTheme="minorHAnsi" w:cstheme="minorHAnsi"/>
                <w:sz w:val="20"/>
                <w:szCs w:val="20"/>
              </w:rPr>
              <w:t>delivered by the Jericho Community Association to about 1,</w:t>
            </w:r>
            <w:r>
              <w:rPr>
                <w:rFonts w:asciiTheme="minorHAnsi" w:hAnsiTheme="minorHAnsi" w:cstheme="minorHAnsi"/>
                <w:sz w:val="20"/>
                <w:szCs w:val="20"/>
              </w:rPr>
              <w:t>200 addresses.</w:t>
            </w:r>
            <w:r w:rsidRPr="00674076">
              <w:rPr>
                <w:rFonts w:asciiTheme="minorHAnsi" w:hAnsiTheme="minorHAnsi" w:cstheme="minorHAnsi"/>
                <w:sz w:val="20"/>
                <w:szCs w:val="20"/>
              </w:rPr>
              <w:t xml:space="preserve"> The event was also advertised on the Jericho Community Associati</w:t>
            </w:r>
            <w:r w:rsidR="00775C63">
              <w:rPr>
                <w:rFonts w:asciiTheme="minorHAnsi" w:hAnsiTheme="minorHAnsi" w:cstheme="minorHAnsi"/>
                <w:sz w:val="20"/>
                <w:szCs w:val="20"/>
              </w:rPr>
              <w:t>on’s website (o</w:t>
            </w:r>
            <w:r w:rsidRPr="00674076">
              <w:rPr>
                <w:rFonts w:asciiTheme="minorHAnsi" w:hAnsiTheme="minorHAnsi" w:cstheme="minorHAnsi"/>
                <w:sz w:val="20"/>
                <w:szCs w:val="20"/>
              </w:rPr>
              <w:t xml:space="preserve">ver 50 </w:t>
            </w:r>
            <w:r w:rsidR="00775C63">
              <w:rPr>
                <w:rFonts w:asciiTheme="minorHAnsi" w:hAnsiTheme="minorHAnsi" w:cstheme="minorHAnsi"/>
                <w:sz w:val="20"/>
                <w:szCs w:val="20"/>
              </w:rPr>
              <w:t>attendees</w:t>
            </w:r>
            <w:r>
              <w:rPr>
                <w:rFonts w:asciiTheme="minorHAnsi" w:hAnsiTheme="minorHAnsi" w:cstheme="minorHAnsi"/>
                <w:sz w:val="20"/>
                <w:szCs w:val="20"/>
              </w:rPr>
              <w:t>)</w:t>
            </w:r>
            <w:r w:rsidR="00775C63">
              <w:rPr>
                <w:rFonts w:asciiTheme="minorHAnsi" w:hAnsiTheme="minorHAnsi" w:cstheme="minorHAnsi"/>
                <w:sz w:val="20"/>
                <w:szCs w:val="20"/>
              </w:rPr>
              <w:t>.</w:t>
            </w:r>
          </w:p>
          <w:p w:rsidR="00470775" w:rsidRDefault="00674076" w:rsidP="00775C63">
            <w:pPr>
              <w:pStyle w:val="Default"/>
              <w:numPr>
                <w:ilvl w:val="0"/>
                <w:numId w:val="13"/>
              </w:numPr>
              <w:ind w:left="176" w:hanging="142"/>
              <w:rPr>
                <w:rFonts w:asciiTheme="minorHAnsi" w:hAnsiTheme="minorHAnsi" w:cstheme="minorHAnsi"/>
                <w:sz w:val="20"/>
                <w:szCs w:val="20"/>
              </w:rPr>
            </w:pPr>
            <w:r>
              <w:rPr>
                <w:rFonts w:asciiTheme="minorHAnsi" w:hAnsiTheme="minorHAnsi" w:cstheme="minorHAnsi"/>
                <w:sz w:val="20"/>
                <w:szCs w:val="20"/>
              </w:rPr>
              <w:t>Meeting/telephone conservations</w:t>
            </w:r>
            <w:r w:rsidRPr="00674076">
              <w:rPr>
                <w:rFonts w:asciiTheme="minorHAnsi" w:hAnsiTheme="minorHAnsi" w:cstheme="minorHAnsi"/>
                <w:sz w:val="20"/>
                <w:szCs w:val="20"/>
              </w:rPr>
              <w:t xml:space="preserve"> with </w:t>
            </w:r>
            <w:r>
              <w:rPr>
                <w:rFonts w:asciiTheme="minorHAnsi" w:hAnsiTheme="minorHAnsi" w:cstheme="minorHAnsi"/>
                <w:sz w:val="20"/>
                <w:szCs w:val="20"/>
              </w:rPr>
              <w:t xml:space="preserve">specific </w:t>
            </w:r>
            <w:r w:rsidRPr="00674076">
              <w:rPr>
                <w:rFonts w:asciiTheme="minorHAnsi" w:hAnsiTheme="minorHAnsi" w:cstheme="minorHAnsi"/>
                <w:sz w:val="20"/>
                <w:szCs w:val="20"/>
              </w:rPr>
              <w:t>local interest groups and organisations</w:t>
            </w:r>
            <w:r>
              <w:rPr>
                <w:rFonts w:asciiTheme="minorHAnsi" w:hAnsiTheme="minorHAnsi" w:cstheme="minorHAnsi"/>
                <w:sz w:val="20"/>
                <w:szCs w:val="20"/>
              </w:rPr>
              <w:t>.</w:t>
            </w:r>
            <w:r w:rsidRPr="00674076">
              <w:rPr>
                <w:rFonts w:asciiTheme="minorHAnsi" w:hAnsiTheme="minorHAnsi" w:cstheme="minorHAnsi"/>
                <w:sz w:val="20"/>
                <w:szCs w:val="20"/>
              </w:rPr>
              <w:t xml:space="preserve"> </w:t>
            </w:r>
          </w:p>
          <w:p w:rsidR="00775C63" w:rsidRPr="00775C63" w:rsidRDefault="00775C63" w:rsidP="00775C63">
            <w:pPr>
              <w:pStyle w:val="Default"/>
              <w:ind w:left="176"/>
              <w:rPr>
                <w:rFonts w:asciiTheme="minorHAnsi" w:hAnsiTheme="minorHAnsi" w:cstheme="minorHAnsi"/>
                <w:sz w:val="20"/>
                <w:szCs w:val="20"/>
              </w:rPr>
            </w:pPr>
          </w:p>
        </w:tc>
        <w:tc>
          <w:tcPr>
            <w:tcW w:w="4143" w:type="dxa"/>
            <w:shd w:val="clear" w:color="auto" w:fill="EEEAF2"/>
          </w:tcPr>
          <w:p w:rsidR="00470775" w:rsidRPr="00C71B08" w:rsidRDefault="00674076" w:rsidP="00674076">
            <w:pPr>
              <w:spacing w:before="60" w:after="60"/>
              <w:ind w:right="-46"/>
              <w:rPr>
                <w:rFonts w:asciiTheme="minorHAnsi" w:hAnsiTheme="minorHAnsi" w:cstheme="minorHAnsi"/>
                <w:sz w:val="20"/>
                <w:szCs w:val="20"/>
              </w:rPr>
            </w:pPr>
            <w:r w:rsidRPr="00674076">
              <w:rPr>
                <w:rFonts w:asciiTheme="minorHAnsi" w:hAnsiTheme="minorHAnsi" w:cstheme="minorHAnsi"/>
                <w:sz w:val="20"/>
                <w:szCs w:val="20"/>
              </w:rPr>
              <w:t>The approach to consultation on this SPD was to involve local people at the earliest stage</w:t>
            </w:r>
            <w:r>
              <w:rPr>
                <w:rFonts w:asciiTheme="minorHAnsi" w:hAnsiTheme="minorHAnsi" w:cstheme="minorHAnsi"/>
                <w:sz w:val="20"/>
                <w:szCs w:val="20"/>
              </w:rPr>
              <w:t xml:space="preserve"> to enable the</w:t>
            </w:r>
            <w:r w:rsidRPr="00674076">
              <w:rPr>
                <w:rFonts w:asciiTheme="minorHAnsi" w:hAnsiTheme="minorHAnsi" w:cstheme="minorHAnsi"/>
                <w:sz w:val="20"/>
                <w:szCs w:val="20"/>
              </w:rPr>
              <w:t xml:space="preserve"> City Council to gain a sample of views from the local community on their layout and design aspirations prior to drafting the SPD.</w:t>
            </w:r>
          </w:p>
        </w:tc>
      </w:tr>
      <w:tr w:rsidR="009B1093" w:rsidTr="009B1093">
        <w:tc>
          <w:tcPr>
            <w:tcW w:w="2376" w:type="dxa"/>
            <w:shd w:val="clear" w:color="auto" w:fill="CCC0D9" w:themeFill="accent4" w:themeFillTint="66"/>
          </w:tcPr>
          <w:p w:rsidR="00C71B08" w:rsidRPr="009B1093" w:rsidRDefault="00C71B08" w:rsidP="00811359">
            <w:pPr>
              <w:spacing w:before="60" w:after="60"/>
              <w:ind w:right="-46"/>
              <w:rPr>
                <w:rFonts w:asciiTheme="minorHAnsi" w:hAnsiTheme="minorHAnsi" w:cstheme="minorHAnsi"/>
                <w:b/>
                <w:color w:val="403152" w:themeColor="accent4" w:themeShade="80"/>
                <w:sz w:val="20"/>
                <w:szCs w:val="20"/>
              </w:rPr>
            </w:pPr>
            <w:proofErr w:type="spellStart"/>
            <w:r w:rsidRPr="009B1093">
              <w:rPr>
                <w:rFonts w:asciiTheme="minorHAnsi" w:hAnsiTheme="minorHAnsi" w:cstheme="minorHAnsi"/>
                <w:b/>
                <w:color w:val="403152" w:themeColor="accent4" w:themeShade="80"/>
                <w:sz w:val="20"/>
                <w:szCs w:val="20"/>
              </w:rPr>
              <w:t>Oxpens</w:t>
            </w:r>
            <w:proofErr w:type="spellEnd"/>
            <w:r w:rsidRPr="009B1093">
              <w:rPr>
                <w:rFonts w:asciiTheme="minorHAnsi" w:hAnsiTheme="minorHAnsi" w:cstheme="minorHAnsi"/>
                <w:b/>
                <w:color w:val="403152" w:themeColor="accent4" w:themeShade="80"/>
                <w:sz w:val="20"/>
                <w:szCs w:val="20"/>
              </w:rPr>
              <w:t xml:space="preserve"> SPD</w:t>
            </w:r>
          </w:p>
        </w:tc>
        <w:tc>
          <w:tcPr>
            <w:tcW w:w="1843" w:type="dxa"/>
            <w:shd w:val="clear" w:color="auto" w:fill="E5DFEC" w:themeFill="accent4" w:themeFillTint="33"/>
          </w:tcPr>
          <w:p w:rsidR="00C71B08" w:rsidRPr="00C71B08" w:rsidRDefault="00FE5426" w:rsidP="00811359">
            <w:pPr>
              <w:spacing w:before="60" w:after="60"/>
              <w:ind w:right="-46"/>
              <w:rPr>
                <w:rFonts w:asciiTheme="minorHAnsi" w:hAnsiTheme="minorHAnsi" w:cstheme="minorHAnsi"/>
                <w:sz w:val="20"/>
                <w:szCs w:val="20"/>
              </w:rPr>
            </w:pPr>
            <w:r>
              <w:rPr>
                <w:rFonts w:asciiTheme="minorHAnsi" w:hAnsiTheme="minorHAnsi" w:cstheme="minorHAnsi"/>
                <w:sz w:val="20"/>
                <w:szCs w:val="20"/>
              </w:rPr>
              <w:t>Draft Document</w:t>
            </w:r>
          </w:p>
        </w:tc>
        <w:tc>
          <w:tcPr>
            <w:tcW w:w="1701" w:type="dxa"/>
            <w:shd w:val="clear" w:color="auto" w:fill="E5DFEC" w:themeFill="accent4" w:themeFillTint="33"/>
          </w:tcPr>
          <w:p w:rsidR="00C71B08" w:rsidRDefault="00FE5426" w:rsidP="00FE5426">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17 June –</w:t>
            </w:r>
          </w:p>
          <w:p w:rsidR="00FE5426" w:rsidRPr="00C71B08" w:rsidRDefault="00FE5426" w:rsidP="00FE5426">
            <w:pPr>
              <w:spacing w:before="60" w:after="60"/>
              <w:ind w:right="-46"/>
              <w:jc w:val="center"/>
              <w:rPr>
                <w:rFonts w:asciiTheme="minorHAnsi" w:hAnsiTheme="minorHAnsi" w:cstheme="minorHAnsi"/>
                <w:sz w:val="20"/>
                <w:szCs w:val="20"/>
              </w:rPr>
            </w:pPr>
            <w:r>
              <w:rPr>
                <w:rFonts w:asciiTheme="minorHAnsi" w:hAnsiTheme="minorHAnsi" w:cstheme="minorHAnsi"/>
                <w:sz w:val="20"/>
                <w:szCs w:val="20"/>
              </w:rPr>
              <w:t>29 July 2013</w:t>
            </w:r>
          </w:p>
        </w:tc>
        <w:tc>
          <w:tcPr>
            <w:tcW w:w="4111" w:type="dxa"/>
            <w:shd w:val="clear" w:color="auto" w:fill="E5DFEC" w:themeFill="accent4" w:themeFillTint="33"/>
          </w:tcPr>
          <w:p w:rsidR="00C71B08" w:rsidRPr="00C71B08" w:rsidRDefault="00FE5426" w:rsidP="00811359">
            <w:pPr>
              <w:spacing w:before="60" w:after="60"/>
              <w:ind w:right="-46"/>
              <w:rPr>
                <w:rFonts w:asciiTheme="minorHAnsi" w:hAnsiTheme="minorHAnsi" w:cstheme="minorHAnsi"/>
                <w:sz w:val="20"/>
                <w:szCs w:val="20"/>
              </w:rPr>
            </w:pPr>
            <w:r w:rsidRPr="00FE5426">
              <w:rPr>
                <w:rFonts w:asciiTheme="minorHAnsi" w:hAnsiTheme="minorHAnsi" w:cstheme="minorHAnsi"/>
                <w:sz w:val="20"/>
                <w:szCs w:val="20"/>
              </w:rPr>
              <w:t>A total of 143 responses from organisations and individuals were received including 38 letters/emails and 105 responses to the questionnaire</w:t>
            </w:r>
            <w:r>
              <w:rPr>
                <w:rFonts w:asciiTheme="minorHAnsi" w:hAnsiTheme="minorHAnsi" w:cstheme="minorHAnsi"/>
                <w:sz w:val="20"/>
                <w:szCs w:val="20"/>
              </w:rPr>
              <w:t>.</w:t>
            </w:r>
          </w:p>
        </w:tc>
        <w:tc>
          <w:tcPr>
            <w:tcW w:w="4143" w:type="dxa"/>
            <w:shd w:val="clear" w:color="auto" w:fill="E5DFEC" w:themeFill="accent4" w:themeFillTint="33"/>
          </w:tcPr>
          <w:p w:rsidR="00C71B08" w:rsidRPr="00C71B08" w:rsidRDefault="00FE5426" w:rsidP="00FE5426">
            <w:pPr>
              <w:spacing w:before="60" w:after="60"/>
              <w:ind w:right="-46"/>
              <w:rPr>
                <w:rFonts w:asciiTheme="minorHAnsi" w:hAnsiTheme="minorHAnsi" w:cstheme="minorHAnsi"/>
                <w:sz w:val="20"/>
                <w:szCs w:val="20"/>
              </w:rPr>
            </w:pPr>
            <w:r w:rsidRPr="00FE5426">
              <w:rPr>
                <w:rFonts w:asciiTheme="minorHAnsi" w:hAnsiTheme="minorHAnsi" w:cstheme="minorHAnsi"/>
                <w:sz w:val="20"/>
                <w:szCs w:val="20"/>
              </w:rPr>
              <w:t>The issues raised through the consultation</w:t>
            </w:r>
            <w:r>
              <w:rPr>
                <w:rFonts w:asciiTheme="minorHAnsi" w:hAnsiTheme="minorHAnsi" w:cstheme="minorHAnsi"/>
                <w:sz w:val="20"/>
                <w:szCs w:val="20"/>
              </w:rPr>
              <w:t xml:space="preserve"> were reviewed and, where necessary,</w:t>
            </w:r>
            <w:r w:rsidRPr="00FE5426">
              <w:rPr>
                <w:rFonts w:asciiTheme="minorHAnsi" w:hAnsiTheme="minorHAnsi" w:cstheme="minorHAnsi"/>
                <w:sz w:val="20"/>
                <w:szCs w:val="20"/>
              </w:rPr>
              <w:t xml:space="preserve"> changes </w:t>
            </w:r>
            <w:r>
              <w:rPr>
                <w:rFonts w:asciiTheme="minorHAnsi" w:hAnsiTheme="minorHAnsi" w:cstheme="minorHAnsi"/>
                <w:sz w:val="20"/>
                <w:szCs w:val="20"/>
              </w:rPr>
              <w:t xml:space="preserve">were made </w:t>
            </w:r>
            <w:r w:rsidRPr="00FE5426">
              <w:rPr>
                <w:rFonts w:asciiTheme="minorHAnsi" w:hAnsiTheme="minorHAnsi" w:cstheme="minorHAnsi"/>
                <w:sz w:val="20"/>
                <w:szCs w:val="20"/>
              </w:rPr>
              <w:t>to the SPD.</w:t>
            </w:r>
          </w:p>
        </w:tc>
      </w:tr>
    </w:tbl>
    <w:p w:rsidR="00C71B08" w:rsidRDefault="00C71B08" w:rsidP="00DE511C">
      <w:pPr>
        <w:rPr>
          <w:rFonts w:asciiTheme="minorHAnsi" w:hAnsiTheme="minorHAnsi" w:cstheme="minorHAnsi"/>
          <w:sz w:val="22"/>
          <w:szCs w:val="22"/>
        </w:rPr>
      </w:pPr>
    </w:p>
    <w:p w:rsidR="00DE511C" w:rsidRPr="004E3A40" w:rsidRDefault="008B306D" w:rsidP="00DE511C">
      <w:pPr>
        <w:spacing w:after="200" w:line="276" w:lineRule="auto"/>
        <w:ind w:left="360"/>
        <w:jc w:val="center"/>
        <w:rPr>
          <w:rFonts w:ascii="Calibri" w:eastAsia="Calibri" w:hAnsi="Calibri" w:cs="Times New Roman"/>
          <w:sz w:val="22"/>
          <w:szCs w:val="22"/>
        </w:rPr>
      </w:pPr>
      <w:r>
        <w:rPr>
          <w:rFonts w:asciiTheme="minorHAnsi" w:hAnsiTheme="minorHAnsi" w:cstheme="minorHAnsi"/>
          <w:b/>
          <w:sz w:val="20"/>
          <w:szCs w:val="22"/>
        </w:rPr>
        <w:t>Figure 34</w:t>
      </w:r>
      <w:r w:rsidR="00DE511C">
        <w:rPr>
          <w:rFonts w:asciiTheme="minorHAnsi" w:hAnsiTheme="minorHAnsi" w:cstheme="minorHAnsi"/>
          <w:b/>
          <w:sz w:val="20"/>
          <w:szCs w:val="22"/>
        </w:rPr>
        <w:t xml:space="preserve">: </w:t>
      </w:r>
      <w:r w:rsidR="00DE511C">
        <w:rPr>
          <w:rFonts w:asciiTheme="minorHAnsi" w:hAnsiTheme="minorHAnsi" w:cstheme="minorHAnsi"/>
          <w:sz w:val="20"/>
          <w:szCs w:val="22"/>
        </w:rPr>
        <w:t xml:space="preserve">Summary of planning policy consultations </w:t>
      </w:r>
      <w:r w:rsidR="00DC0E38">
        <w:rPr>
          <w:rFonts w:asciiTheme="minorHAnsi" w:hAnsiTheme="minorHAnsi" w:cstheme="minorHAnsi"/>
          <w:sz w:val="20"/>
          <w:szCs w:val="22"/>
        </w:rPr>
        <w:t xml:space="preserve">undertaken in </w:t>
      </w:r>
      <w:r w:rsidR="00DE511C">
        <w:rPr>
          <w:rFonts w:asciiTheme="minorHAnsi" w:hAnsiTheme="minorHAnsi" w:cstheme="minorHAnsi"/>
          <w:sz w:val="20"/>
          <w:szCs w:val="22"/>
        </w:rPr>
        <w:t xml:space="preserve">2013/14 </w:t>
      </w:r>
    </w:p>
    <w:p w:rsidR="00DE511C" w:rsidRDefault="00DE511C" w:rsidP="00DE511C">
      <w:pPr>
        <w:jc w:val="center"/>
        <w:rPr>
          <w:rFonts w:asciiTheme="minorHAnsi" w:hAnsiTheme="minorHAnsi" w:cstheme="minorHAnsi"/>
          <w:sz w:val="22"/>
          <w:szCs w:val="22"/>
        </w:rPr>
      </w:pPr>
    </w:p>
    <w:p w:rsidR="00DE511C" w:rsidRDefault="00DE511C" w:rsidP="00DE511C">
      <w:pPr>
        <w:rPr>
          <w:rFonts w:asciiTheme="minorHAnsi" w:hAnsiTheme="minorHAnsi" w:cstheme="minorHAnsi"/>
          <w:sz w:val="22"/>
          <w:szCs w:val="22"/>
        </w:rPr>
        <w:sectPr w:rsidR="00DE511C" w:rsidSect="009B1093">
          <w:pgSz w:w="16838" w:h="11906" w:orient="landscape"/>
          <w:pgMar w:top="1440" w:right="1440" w:bottom="1440" w:left="1440" w:header="709" w:footer="709" w:gutter="0"/>
          <w:cols w:space="708"/>
          <w:docGrid w:linePitch="360"/>
        </w:sectPr>
      </w:pPr>
    </w:p>
    <w:p w:rsidR="00A05F0F" w:rsidRDefault="00A05F0F" w:rsidP="00A05F0F">
      <w:pPr>
        <w:shd w:val="clear" w:color="auto" w:fill="E5DFEC" w:themeFill="accent4" w:themeFillTint="33"/>
        <w:rPr>
          <w:rFonts w:asciiTheme="minorHAnsi" w:hAnsiTheme="minorHAnsi" w:cstheme="minorHAnsi"/>
          <w:b/>
          <w:color w:val="403152" w:themeColor="accent4" w:themeShade="80"/>
          <w:sz w:val="28"/>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05696" behindDoc="0" locked="0" layoutInCell="1" allowOverlap="1" wp14:anchorId="14DE6636" wp14:editId="3303D832">
                <wp:simplePos x="0" y="0"/>
                <wp:positionH relativeFrom="column">
                  <wp:posOffset>3667125</wp:posOffset>
                </wp:positionH>
                <wp:positionV relativeFrom="paragraph">
                  <wp:posOffset>-581025</wp:posOffset>
                </wp:positionV>
                <wp:extent cx="2122805"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A05F0F">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91" type="#_x0000_t202" style="position:absolute;margin-left:288.75pt;margin-top:-45.75pt;width:167.15pt;height:27.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" fillcolor="window" stroked="f" strokeweight=".5pt">
                <v:textbox>
                  <w:txbxContent>
                    <w:p w:rsidR="000D3CFF" w:rsidRPr="00483A60" w:rsidRDefault="000D3CFF" w:rsidP="00A05F0F">
                      <w:pPr>
                        <w:jc w:val="right"/>
                        <w:rPr>
                          <w:b/>
                          <w:color w:val="7030A0"/>
                        </w:rPr>
                      </w:pPr>
                      <w:r w:rsidRPr="00483A60">
                        <w:rPr>
                          <w:b/>
                          <w:color w:val="7030A0"/>
                        </w:rPr>
                        <w:t>Efficient, Effective Council</w:t>
                      </w:r>
                    </w:p>
                  </w:txbxContent>
                </v:textbox>
              </v:shape>
            </w:pict>
          </mc:Fallback>
        </mc:AlternateContent>
      </w:r>
      <w:r>
        <w:rPr>
          <w:rFonts w:asciiTheme="minorHAnsi" w:hAnsiTheme="minorHAnsi" w:cstheme="minorHAnsi"/>
          <w:b/>
          <w:color w:val="403152" w:themeColor="accent4" w:themeShade="80"/>
          <w:sz w:val="28"/>
          <w:szCs w:val="22"/>
        </w:rPr>
        <w:t>Community Infrastructure Levy Monitoring</w:t>
      </w:r>
    </w:p>
    <w:p w:rsidR="00A05F0F" w:rsidRPr="005F7583" w:rsidRDefault="00A05F0F" w:rsidP="00240684">
      <w:pPr>
        <w:shd w:val="clear" w:color="auto" w:fill="FFFFFF" w:themeFill="background1"/>
        <w:ind w:right="-46"/>
        <w:rPr>
          <w:rFonts w:asciiTheme="minorHAnsi" w:hAnsiTheme="minorHAnsi" w:cstheme="minorHAnsi"/>
          <w:sz w:val="22"/>
          <w:szCs w:val="22"/>
        </w:rPr>
      </w:pPr>
    </w:p>
    <w:p w:rsidR="00647E14" w:rsidRPr="00240684" w:rsidRDefault="00B04057" w:rsidP="00240684">
      <w:pPr>
        <w:pStyle w:val="Header"/>
        <w:numPr>
          <w:ilvl w:val="1"/>
          <w:numId w:val="17"/>
        </w:numPr>
        <w:shd w:val="clear" w:color="auto" w:fill="FFFFFF" w:themeFill="background1"/>
        <w:tabs>
          <w:tab w:val="clear" w:pos="4513"/>
          <w:tab w:val="clear" w:pos="9026"/>
        </w:tabs>
        <w:jc w:val="both"/>
        <w:rPr>
          <w:rFonts w:ascii="Calibri" w:hAnsi="Calibri"/>
          <w:sz w:val="22"/>
          <w:szCs w:val="22"/>
        </w:rPr>
      </w:pPr>
      <w:r w:rsidRPr="00240684">
        <w:rPr>
          <w:rFonts w:ascii="Calibri" w:hAnsi="Calibri"/>
          <w:sz w:val="22"/>
          <w:szCs w:val="22"/>
        </w:rPr>
        <w:t xml:space="preserve">The </w:t>
      </w:r>
      <w:r w:rsidR="00B843C0" w:rsidRPr="00240684">
        <w:rPr>
          <w:rFonts w:ascii="Calibri" w:hAnsi="Calibri"/>
          <w:sz w:val="22"/>
          <w:szCs w:val="22"/>
        </w:rPr>
        <w:t>Community Infrastructure Levy (CIL) is a tariff in the form of a standard charge on new development</w:t>
      </w:r>
      <w:r w:rsidR="00647E14" w:rsidRPr="00240684">
        <w:rPr>
          <w:rFonts w:ascii="Calibri" w:hAnsi="Calibri"/>
          <w:sz w:val="22"/>
          <w:szCs w:val="22"/>
        </w:rPr>
        <w:t xml:space="preserve"> to help the </w:t>
      </w:r>
      <w:r w:rsidR="00B843C0" w:rsidRPr="00240684">
        <w:rPr>
          <w:rFonts w:ascii="Calibri" w:hAnsi="Calibri"/>
          <w:sz w:val="22"/>
          <w:szCs w:val="22"/>
        </w:rPr>
        <w:t xml:space="preserve">funding of infrastructure.  </w:t>
      </w:r>
      <w:r w:rsidR="00647E14" w:rsidRPr="00240684">
        <w:rPr>
          <w:rFonts w:asciiTheme="minorHAnsi" w:hAnsiTheme="minorHAnsi" w:cstheme="minorHAnsi"/>
          <w:sz w:val="22"/>
          <w:szCs w:val="22"/>
        </w:rPr>
        <w:t>The City Council is responsible for the collection of CIL payments, co-ordinating how the funds are spent and reporting this to the community.</w:t>
      </w:r>
    </w:p>
    <w:p w:rsidR="00647E14" w:rsidRPr="00240684" w:rsidRDefault="00647E14" w:rsidP="00240684">
      <w:pPr>
        <w:pStyle w:val="Header"/>
        <w:shd w:val="clear" w:color="auto" w:fill="FFFFFF" w:themeFill="background1"/>
        <w:tabs>
          <w:tab w:val="clear" w:pos="4513"/>
          <w:tab w:val="clear" w:pos="9026"/>
        </w:tabs>
        <w:ind w:left="360"/>
        <w:jc w:val="both"/>
        <w:rPr>
          <w:rFonts w:ascii="Calibri" w:hAnsi="Calibri"/>
          <w:sz w:val="22"/>
          <w:szCs w:val="22"/>
        </w:rPr>
      </w:pPr>
    </w:p>
    <w:p w:rsidR="00B843C0" w:rsidRPr="00240684" w:rsidRDefault="00647E14" w:rsidP="00240684">
      <w:pPr>
        <w:pStyle w:val="Header"/>
        <w:numPr>
          <w:ilvl w:val="1"/>
          <w:numId w:val="17"/>
        </w:numPr>
        <w:shd w:val="clear" w:color="auto" w:fill="FFFFFF" w:themeFill="background1"/>
        <w:tabs>
          <w:tab w:val="clear" w:pos="4513"/>
          <w:tab w:val="clear" w:pos="9026"/>
        </w:tabs>
        <w:jc w:val="both"/>
        <w:rPr>
          <w:rFonts w:ascii="Calibri" w:hAnsi="Calibri"/>
          <w:sz w:val="22"/>
          <w:szCs w:val="22"/>
        </w:rPr>
      </w:pPr>
      <w:r w:rsidRPr="00240684">
        <w:rPr>
          <w:rFonts w:ascii="Calibri" w:hAnsi="Calibri"/>
          <w:sz w:val="22"/>
          <w:szCs w:val="22"/>
        </w:rPr>
        <w:t xml:space="preserve"> </w:t>
      </w:r>
      <w:r w:rsidR="00B843C0" w:rsidRPr="00240684">
        <w:rPr>
          <w:rFonts w:ascii="Calibri" w:hAnsi="Calibri"/>
          <w:sz w:val="22"/>
          <w:szCs w:val="22"/>
        </w:rPr>
        <w:t xml:space="preserve">The </w:t>
      </w:r>
      <w:r w:rsidR="00B04057" w:rsidRPr="00240684">
        <w:rPr>
          <w:rFonts w:ascii="Calibri" w:hAnsi="Calibri"/>
          <w:sz w:val="22"/>
          <w:szCs w:val="22"/>
        </w:rPr>
        <w:t>Oxford C</w:t>
      </w:r>
      <w:r w:rsidR="00B843C0" w:rsidRPr="00240684">
        <w:rPr>
          <w:rFonts w:ascii="Calibri" w:hAnsi="Calibri"/>
          <w:sz w:val="22"/>
          <w:szCs w:val="22"/>
        </w:rPr>
        <w:t xml:space="preserve">IL </w:t>
      </w:r>
      <w:r w:rsidR="00B04057" w:rsidRPr="00240684">
        <w:rPr>
          <w:rFonts w:ascii="Calibri" w:hAnsi="Calibri"/>
          <w:sz w:val="22"/>
          <w:szCs w:val="22"/>
        </w:rPr>
        <w:t xml:space="preserve">Charging Schedule </w:t>
      </w:r>
      <w:r w:rsidR="00B843C0" w:rsidRPr="00240684">
        <w:rPr>
          <w:rFonts w:ascii="Calibri" w:hAnsi="Calibri"/>
          <w:sz w:val="22"/>
          <w:szCs w:val="22"/>
        </w:rPr>
        <w:t>was approved by Council on 30 September</w:t>
      </w:r>
      <w:r w:rsidR="00B04057" w:rsidRPr="00240684">
        <w:rPr>
          <w:rFonts w:ascii="Calibri" w:hAnsi="Calibri"/>
          <w:sz w:val="22"/>
          <w:szCs w:val="22"/>
        </w:rPr>
        <w:t xml:space="preserve"> 2013</w:t>
      </w:r>
      <w:r w:rsidR="00B843C0" w:rsidRPr="00240684">
        <w:rPr>
          <w:rFonts w:ascii="Calibri" w:hAnsi="Calibri"/>
          <w:sz w:val="22"/>
          <w:szCs w:val="22"/>
        </w:rPr>
        <w:t xml:space="preserve">.  It came into </w:t>
      </w:r>
      <w:r w:rsidR="00B04057" w:rsidRPr="00240684">
        <w:rPr>
          <w:rFonts w:ascii="Calibri" w:hAnsi="Calibri"/>
          <w:sz w:val="22"/>
          <w:szCs w:val="22"/>
        </w:rPr>
        <w:t>effect on the 21 October 2013</w:t>
      </w:r>
      <w:r w:rsidR="00B843C0" w:rsidRPr="00240684">
        <w:rPr>
          <w:rFonts w:ascii="Calibri" w:hAnsi="Calibri"/>
          <w:sz w:val="22"/>
          <w:szCs w:val="22"/>
        </w:rPr>
        <w:t xml:space="preserve"> and applies to planning permissions issued from that date onwards.  The amount paid in CIL charges is based upon the type and size of development, and certain exemptions may apply</w:t>
      </w:r>
      <w:r w:rsidR="00B04057" w:rsidRPr="00240684">
        <w:rPr>
          <w:rFonts w:ascii="Calibri" w:hAnsi="Calibri"/>
          <w:sz w:val="22"/>
          <w:szCs w:val="22"/>
        </w:rPr>
        <w:t>.</w:t>
      </w:r>
    </w:p>
    <w:p w:rsidR="00B04057" w:rsidRPr="00240684" w:rsidRDefault="00B04057" w:rsidP="00240684">
      <w:pPr>
        <w:pStyle w:val="Header"/>
        <w:shd w:val="clear" w:color="auto" w:fill="FFFFFF" w:themeFill="background1"/>
        <w:tabs>
          <w:tab w:val="clear" w:pos="4513"/>
          <w:tab w:val="clear" w:pos="9026"/>
        </w:tabs>
        <w:ind w:left="360"/>
        <w:jc w:val="both"/>
        <w:rPr>
          <w:rFonts w:ascii="Calibri" w:hAnsi="Calibri"/>
          <w:sz w:val="22"/>
          <w:szCs w:val="22"/>
        </w:rPr>
      </w:pPr>
      <w:r w:rsidRPr="00240684">
        <w:rPr>
          <w:rFonts w:ascii="Calibri" w:hAnsi="Calibri"/>
          <w:sz w:val="22"/>
          <w:szCs w:val="22"/>
        </w:rPr>
        <w:t xml:space="preserve">  </w:t>
      </w:r>
    </w:p>
    <w:p w:rsidR="00647E14" w:rsidRPr="00240684" w:rsidRDefault="00B843C0" w:rsidP="00240684">
      <w:pPr>
        <w:pStyle w:val="Header"/>
        <w:numPr>
          <w:ilvl w:val="1"/>
          <w:numId w:val="17"/>
        </w:numPr>
        <w:shd w:val="clear" w:color="auto" w:fill="FFFFFF" w:themeFill="background1"/>
        <w:tabs>
          <w:tab w:val="clear" w:pos="4513"/>
          <w:tab w:val="clear" w:pos="9026"/>
        </w:tabs>
        <w:jc w:val="both"/>
        <w:rPr>
          <w:rFonts w:ascii="Calibri" w:hAnsi="Calibri"/>
          <w:sz w:val="22"/>
          <w:szCs w:val="22"/>
        </w:rPr>
      </w:pPr>
      <w:r w:rsidRPr="00240684">
        <w:rPr>
          <w:rFonts w:asciiTheme="minorHAnsi" w:hAnsiTheme="minorHAnsi" w:cstheme="minorHAnsi"/>
          <w:sz w:val="22"/>
          <w:szCs w:val="22"/>
        </w:rPr>
        <w:t xml:space="preserve">A list of infrastructure that will, or may, be wholly or partly funded by CIL is contained in the </w:t>
      </w:r>
      <w:r w:rsidR="00647E14" w:rsidRPr="00240684">
        <w:rPr>
          <w:rFonts w:asciiTheme="minorHAnsi" w:hAnsiTheme="minorHAnsi" w:cstheme="minorHAnsi"/>
          <w:sz w:val="22"/>
          <w:szCs w:val="22"/>
        </w:rPr>
        <w:t>‘</w:t>
      </w:r>
      <w:r w:rsidRPr="00240684">
        <w:rPr>
          <w:rFonts w:asciiTheme="minorHAnsi" w:hAnsiTheme="minorHAnsi" w:cstheme="minorHAnsi"/>
          <w:sz w:val="22"/>
          <w:szCs w:val="22"/>
        </w:rPr>
        <w:t>Regulation 123 List</w:t>
      </w:r>
      <w:r w:rsidR="00647E14" w:rsidRPr="00240684">
        <w:rPr>
          <w:rFonts w:asciiTheme="minorHAnsi" w:hAnsiTheme="minorHAnsi" w:cstheme="minorHAnsi"/>
          <w:sz w:val="22"/>
          <w:szCs w:val="22"/>
        </w:rPr>
        <w:t>’</w:t>
      </w:r>
      <w:r w:rsidRPr="00240684">
        <w:rPr>
          <w:rFonts w:asciiTheme="minorHAnsi" w:hAnsiTheme="minorHAnsi" w:cstheme="minorHAnsi"/>
          <w:sz w:val="22"/>
          <w:szCs w:val="22"/>
        </w:rPr>
        <w:t>, which is available on the CIL page of the City Council’s website.  Although CIL will now be the</w:t>
      </w:r>
      <w:r w:rsidR="00647E14" w:rsidRPr="00240684">
        <w:rPr>
          <w:rFonts w:asciiTheme="minorHAnsi" w:hAnsiTheme="minorHAnsi" w:cstheme="minorHAnsi"/>
          <w:sz w:val="22"/>
          <w:szCs w:val="22"/>
        </w:rPr>
        <w:t xml:space="preserve"> principal mechanism by which developments contribute to the provision of infrastructure, affordable housing and some other (primarily on-site) infrastructure will continue to be delivered through planning obligations.</w:t>
      </w:r>
    </w:p>
    <w:p w:rsidR="00647E14" w:rsidRDefault="00647E14" w:rsidP="00240684">
      <w:pPr>
        <w:pStyle w:val="ListParagraph"/>
        <w:shd w:val="clear" w:color="auto" w:fill="FFFFFF" w:themeFill="background1"/>
        <w:rPr>
          <w:rFonts w:asciiTheme="minorHAnsi" w:hAnsiTheme="minorHAnsi" w:cstheme="minorHAnsi"/>
          <w:sz w:val="22"/>
          <w:szCs w:val="22"/>
        </w:rPr>
      </w:pPr>
    </w:p>
    <w:p w:rsidR="00E63AD1" w:rsidRPr="00647E14" w:rsidRDefault="00647E14" w:rsidP="00240684">
      <w:pPr>
        <w:pStyle w:val="Header"/>
        <w:numPr>
          <w:ilvl w:val="1"/>
          <w:numId w:val="17"/>
        </w:numPr>
        <w:shd w:val="clear" w:color="auto" w:fill="FFFFFF" w:themeFill="background1"/>
        <w:tabs>
          <w:tab w:val="clear" w:pos="4513"/>
          <w:tab w:val="clear" w:pos="9026"/>
        </w:tabs>
        <w:jc w:val="both"/>
        <w:rPr>
          <w:rFonts w:ascii="Calibri" w:hAnsi="Calibri"/>
          <w:sz w:val="22"/>
          <w:szCs w:val="22"/>
        </w:rPr>
      </w:pPr>
      <w:r>
        <w:rPr>
          <w:rFonts w:asciiTheme="minorHAnsi" w:hAnsiTheme="minorHAnsi" w:cstheme="minorHAnsi"/>
          <w:sz w:val="22"/>
          <w:szCs w:val="22"/>
        </w:rPr>
        <w:t>Regulation 62 of the CIL Regulations (as amended) states that:</w:t>
      </w:r>
    </w:p>
    <w:p w:rsidR="00647E14" w:rsidRDefault="00647E14" w:rsidP="00240684">
      <w:pPr>
        <w:pStyle w:val="ListParagraph"/>
        <w:shd w:val="clear" w:color="auto" w:fill="FFFFFF" w:themeFill="background1"/>
        <w:rPr>
          <w:rFonts w:ascii="Calibri" w:hAnsi="Calibri"/>
          <w:sz w:val="22"/>
          <w:szCs w:val="22"/>
        </w:rPr>
      </w:pPr>
    </w:p>
    <w:p w:rsidR="00647E14" w:rsidRPr="00647E14" w:rsidRDefault="00647E14" w:rsidP="00240684">
      <w:pPr>
        <w:pStyle w:val="Header"/>
        <w:shd w:val="clear" w:color="auto" w:fill="FFFFFF" w:themeFill="background1"/>
        <w:tabs>
          <w:tab w:val="clear" w:pos="4513"/>
          <w:tab w:val="clear" w:pos="9026"/>
        </w:tabs>
        <w:ind w:left="709"/>
        <w:jc w:val="both"/>
        <w:rPr>
          <w:rFonts w:ascii="Calibri" w:hAnsi="Calibri"/>
          <w:i/>
          <w:sz w:val="22"/>
          <w:szCs w:val="22"/>
        </w:rPr>
      </w:pPr>
      <w:r>
        <w:rPr>
          <w:rFonts w:ascii="Calibri" w:hAnsi="Calibri"/>
          <w:sz w:val="22"/>
          <w:szCs w:val="22"/>
        </w:rPr>
        <w:t>“</w:t>
      </w:r>
      <w:r w:rsidRPr="00647E14">
        <w:rPr>
          <w:rFonts w:ascii="Calibri" w:hAnsi="Calibri"/>
          <w:i/>
          <w:sz w:val="22"/>
          <w:szCs w:val="22"/>
        </w:rPr>
        <w:t>A charging authority must prepare a report for any financial year (“the reported year”) in which-</w:t>
      </w:r>
    </w:p>
    <w:p w:rsidR="00647E14" w:rsidRPr="00647E14" w:rsidRDefault="00647E14" w:rsidP="00240684">
      <w:pPr>
        <w:pStyle w:val="Header"/>
        <w:numPr>
          <w:ilvl w:val="0"/>
          <w:numId w:val="27"/>
        </w:numPr>
        <w:shd w:val="clear" w:color="auto" w:fill="FFFFFF" w:themeFill="background1"/>
        <w:tabs>
          <w:tab w:val="clear" w:pos="4513"/>
          <w:tab w:val="clear" w:pos="9026"/>
        </w:tabs>
        <w:jc w:val="both"/>
        <w:rPr>
          <w:rFonts w:ascii="Calibri" w:hAnsi="Calibri"/>
          <w:i/>
          <w:sz w:val="22"/>
          <w:szCs w:val="22"/>
        </w:rPr>
      </w:pPr>
      <w:r w:rsidRPr="00647E14">
        <w:rPr>
          <w:rFonts w:ascii="Calibri" w:hAnsi="Calibri"/>
          <w:i/>
          <w:sz w:val="22"/>
          <w:szCs w:val="22"/>
        </w:rPr>
        <w:t>it collects CIL, or CIL is collected on its behalf; or</w:t>
      </w:r>
    </w:p>
    <w:p w:rsidR="00647E14" w:rsidRPr="00647E14" w:rsidRDefault="00647E14" w:rsidP="00240684">
      <w:pPr>
        <w:pStyle w:val="Header"/>
        <w:numPr>
          <w:ilvl w:val="0"/>
          <w:numId w:val="27"/>
        </w:numPr>
        <w:shd w:val="clear" w:color="auto" w:fill="FFFFFF" w:themeFill="background1"/>
        <w:tabs>
          <w:tab w:val="clear" w:pos="4513"/>
          <w:tab w:val="clear" w:pos="9026"/>
        </w:tabs>
        <w:jc w:val="both"/>
        <w:rPr>
          <w:rFonts w:ascii="Calibri" w:hAnsi="Calibri"/>
          <w:i/>
          <w:sz w:val="22"/>
          <w:szCs w:val="22"/>
        </w:rPr>
      </w:pPr>
      <w:proofErr w:type="gramStart"/>
      <w:r w:rsidRPr="00647E14">
        <w:rPr>
          <w:rFonts w:ascii="Calibri" w:hAnsi="Calibri"/>
          <w:i/>
          <w:sz w:val="22"/>
          <w:szCs w:val="22"/>
        </w:rPr>
        <w:t>an</w:t>
      </w:r>
      <w:proofErr w:type="gramEnd"/>
      <w:r w:rsidRPr="00647E14">
        <w:rPr>
          <w:rFonts w:ascii="Calibri" w:hAnsi="Calibri"/>
          <w:i/>
          <w:sz w:val="22"/>
          <w:szCs w:val="22"/>
        </w:rPr>
        <w:t xml:space="preserve"> amount of CIL collected by it or by another person on its behalf (whether in the reported year or any other) has been spent.”</w:t>
      </w:r>
    </w:p>
    <w:p w:rsidR="00E63AD1" w:rsidRPr="00E63AD1" w:rsidRDefault="00E63AD1" w:rsidP="00240684">
      <w:pPr>
        <w:pStyle w:val="Header"/>
        <w:shd w:val="clear" w:color="auto" w:fill="FFFFFF" w:themeFill="background1"/>
        <w:tabs>
          <w:tab w:val="clear" w:pos="4513"/>
          <w:tab w:val="clear" w:pos="9026"/>
        </w:tabs>
        <w:ind w:left="360"/>
        <w:jc w:val="both"/>
        <w:rPr>
          <w:rFonts w:ascii="Calibri" w:hAnsi="Calibri"/>
          <w:sz w:val="22"/>
          <w:szCs w:val="22"/>
        </w:rPr>
      </w:pPr>
    </w:p>
    <w:p w:rsidR="009D323B" w:rsidRPr="00D10B9D" w:rsidRDefault="00EF220B" w:rsidP="00240684">
      <w:pPr>
        <w:pStyle w:val="Header"/>
        <w:numPr>
          <w:ilvl w:val="1"/>
          <w:numId w:val="17"/>
        </w:numPr>
        <w:shd w:val="clear" w:color="auto" w:fill="FFFFFF" w:themeFill="background1"/>
        <w:tabs>
          <w:tab w:val="clear" w:pos="4513"/>
          <w:tab w:val="clear" w:pos="9026"/>
        </w:tabs>
        <w:jc w:val="both"/>
        <w:rPr>
          <w:rFonts w:ascii="Calibri" w:hAnsi="Calibri"/>
          <w:sz w:val="22"/>
          <w:szCs w:val="22"/>
        </w:rPr>
      </w:pPr>
      <w:r>
        <w:rPr>
          <w:rFonts w:asciiTheme="minorHAnsi" w:hAnsiTheme="minorHAnsi" w:cstheme="minorHAnsi"/>
          <w:sz w:val="22"/>
          <w:szCs w:val="22"/>
        </w:rPr>
        <w:t xml:space="preserve">The financial year to which this report relates is 2013/14 and the information within it relates to the period from 21 October 2013 (when the Charging Schedule came into effect) to 31 March 2014.  </w:t>
      </w:r>
      <w:r w:rsidR="00CB46CE">
        <w:rPr>
          <w:rFonts w:asciiTheme="minorHAnsi" w:hAnsiTheme="minorHAnsi" w:cstheme="minorHAnsi"/>
          <w:sz w:val="22"/>
          <w:szCs w:val="22"/>
        </w:rPr>
        <w:t>During the monitoring year</w:t>
      </w:r>
      <w:r w:rsidR="009D323B" w:rsidRPr="00E63AD1">
        <w:rPr>
          <w:rFonts w:asciiTheme="minorHAnsi" w:hAnsiTheme="minorHAnsi" w:cstheme="minorHAnsi"/>
          <w:sz w:val="22"/>
          <w:szCs w:val="22"/>
        </w:rPr>
        <w:t xml:space="preserve"> </w:t>
      </w:r>
      <w:r>
        <w:rPr>
          <w:rFonts w:asciiTheme="minorHAnsi" w:hAnsiTheme="minorHAnsi" w:cstheme="minorHAnsi"/>
          <w:sz w:val="22"/>
          <w:szCs w:val="22"/>
        </w:rPr>
        <w:t xml:space="preserve">only </w:t>
      </w:r>
      <w:r w:rsidR="009D323B" w:rsidRPr="00E63AD1">
        <w:rPr>
          <w:rFonts w:asciiTheme="minorHAnsi" w:hAnsiTheme="minorHAnsi" w:cstheme="minorHAnsi"/>
          <w:sz w:val="22"/>
          <w:szCs w:val="22"/>
        </w:rPr>
        <w:t xml:space="preserve">£7,064 was received in CIL charges. </w:t>
      </w:r>
      <w:r>
        <w:rPr>
          <w:rFonts w:asciiTheme="minorHAnsi" w:hAnsiTheme="minorHAnsi" w:cstheme="minorHAnsi"/>
          <w:sz w:val="22"/>
          <w:szCs w:val="22"/>
        </w:rPr>
        <w:t xml:space="preserve">This is because the Charging Schedule only </w:t>
      </w:r>
      <w:r w:rsidR="00F768DE" w:rsidRPr="00E63AD1">
        <w:rPr>
          <w:rFonts w:asciiTheme="minorHAnsi" w:hAnsiTheme="minorHAnsi" w:cstheme="minorHAnsi"/>
          <w:sz w:val="22"/>
          <w:szCs w:val="22"/>
        </w:rPr>
        <w:t xml:space="preserve">came into effect part way through the monitoring year, </w:t>
      </w:r>
      <w:r>
        <w:rPr>
          <w:rFonts w:asciiTheme="minorHAnsi" w:hAnsiTheme="minorHAnsi" w:cstheme="minorHAnsi"/>
          <w:sz w:val="22"/>
          <w:szCs w:val="22"/>
        </w:rPr>
        <w:t xml:space="preserve">and because </w:t>
      </w:r>
      <w:r w:rsidRPr="00EF220B">
        <w:rPr>
          <w:rFonts w:asciiTheme="minorHAnsi" w:hAnsiTheme="minorHAnsi" w:cstheme="minorHAnsi"/>
          <w:sz w:val="22"/>
          <w:szCs w:val="22"/>
        </w:rPr>
        <w:t xml:space="preserve">CIL is </w:t>
      </w:r>
      <w:r>
        <w:rPr>
          <w:rFonts w:asciiTheme="minorHAnsi" w:hAnsiTheme="minorHAnsi" w:cstheme="minorHAnsi"/>
          <w:sz w:val="22"/>
          <w:szCs w:val="22"/>
        </w:rPr>
        <w:t xml:space="preserve">only </w:t>
      </w:r>
      <w:r w:rsidRPr="00EF220B">
        <w:rPr>
          <w:rFonts w:asciiTheme="minorHAnsi" w:hAnsiTheme="minorHAnsi" w:cstheme="minorHAnsi"/>
          <w:sz w:val="22"/>
          <w:szCs w:val="22"/>
        </w:rPr>
        <w:t xml:space="preserve">payable </w:t>
      </w:r>
      <w:r>
        <w:rPr>
          <w:rFonts w:asciiTheme="minorHAnsi" w:hAnsiTheme="minorHAnsi" w:cstheme="minorHAnsi"/>
          <w:sz w:val="22"/>
          <w:szCs w:val="22"/>
        </w:rPr>
        <w:t>upon</w:t>
      </w:r>
      <w:r w:rsidRPr="00EF220B">
        <w:rPr>
          <w:rFonts w:asciiTheme="minorHAnsi" w:hAnsiTheme="minorHAnsi" w:cstheme="minorHAnsi"/>
          <w:sz w:val="22"/>
          <w:szCs w:val="22"/>
        </w:rPr>
        <w:t xml:space="preserve"> commencement of development</w:t>
      </w:r>
      <w:r>
        <w:rPr>
          <w:rFonts w:asciiTheme="minorHAnsi" w:hAnsiTheme="minorHAnsi" w:cstheme="minorHAnsi"/>
          <w:sz w:val="22"/>
          <w:szCs w:val="22"/>
        </w:rPr>
        <w:t>.  I</w:t>
      </w:r>
      <w:r w:rsidR="00F768DE" w:rsidRPr="00E63AD1">
        <w:rPr>
          <w:rFonts w:asciiTheme="minorHAnsi" w:hAnsiTheme="minorHAnsi" w:cstheme="minorHAnsi"/>
          <w:sz w:val="22"/>
          <w:szCs w:val="22"/>
        </w:rPr>
        <w:t>t is expected that the amount collected will rise</w:t>
      </w:r>
      <w:r>
        <w:rPr>
          <w:rFonts w:asciiTheme="minorHAnsi" w:hAnsiTheme="minorHAnsi" w:cstheme="minorHAnsi"/>
          <w:sz w:val="22"/>
          <w:szCs w:val="22"/>
        </w:rPr>
        <w:t xml:space="preserve"> significantly in future monitoring years</w:t>
      </w:r>
      <w:r w:rsidR="00F768DE" w:rsidRPr="00E63AD1">
        <w:rPr>
          <w:rFonts w:asciiTheme="minorHAnsi" w:hAnsiTheme="minorHAnsi" w:cstheme="minorHAnsi"/>
          <w:sz w:val="22"/>
          <w:szCs w:val="22"/>
        </w:rPr>
        <w:t xml:space="preserve"> as </w:t>
      </w:r>
      <w:r w:rsidR="00D10B9D">
        <w:rPr>
          <w:rFonts w:asciiTheme="minorHAnsi" w:hAnsiTheme="minorHAnsi" w:cstheme="minorHAnsi"/>
          <w:sz w:val="22"/>
          <w:szCs w:val="22"/>
        </w:rPr>
        <w:t xml:space="preserve">works </w:t>
      </w:r>
      <w:r w:rsidR="00F768DE" w:rsidRPr="00E63AD1">
        <w:rPr>
          <w:rFonts w:asciiTheme="minorHAnsi" w:hAnsiTheme="minorHAnsi" w:cstheme="minorHAnsi"/>
          <w:sz w:val="22"/>
          <w:szCs w:val="22"/>
        </w:rPr>
        <w:t>commence on more qualifying developments.</w:t>
      </w:r>
    </w:p>
    <w:p w:rsidR="00D10B9D" w:rsidRPr="00D10B9D" w:rsidRDefault="00D10B9D" w:rsidP="00240684">
      <w:pPr>
        <w:pStyle w:val="Header"/>
        <w:shd w:val="clear" w:color="auto" w:fill="FFFFFF" w:themeFill="background1"/>
        <w:tabs>
          <w:tab w:val="clear" w:pos="4513"/>
          <w:tab w:val="clear" w:pos="9026"/>
        </w:tabs>
        <w:ind w:left="360"/>
        <w:jc w:val="both"/>
        <w:rPr>
          <w:rFonts w:ascii="Calibri" w:hAnsi="Calibri"/>
          <w:sz w:val="22"/>
          <w:szCs w:val="22"/>
        </w:rPr>
      </w:pPr>
    </w:p>
    <w:p w:rsidR="00D10B9D" w:rsidRPr="00D10B9D" w:rsidRDefault="00D10B9D" w:rsidP="00240684">
      <w:pPr>
        <w:pStyle w:val="Header"/>
        <w:shd w:val="clear" w:color="auto" w:fill="FFFFFF" w:themeFill="background1"/>
        <w:tabs>
          <w:tab w:val="clear" w:pos="4513"/>
          <w:tab w:val="clear" w:pos="9026"/>
        </w:tabs>
        <w:ind w:left="709" w:hanging="709"/>
        <w:jc w:val="both"/>
        <w:rPr>
          <w:rFonts w:ascii="Calibri" w:hAnsi="Calibri"/>
          <w:sz w:val="22"/>
          <w:szCs w:val="22"/>
        </w:rPr>
      </w:pPr>
      <w:r>
        <w:rPr>
          <w:rFonts w:ascii="Calibri" w:hAnsi="Calibri"/>
          <w:sz w:val="22"/>
          <w:szCs w:val="22"/>
        </w:rPr>
        <w:t xml:space="preserve">6.23 </w:t>
      </w:r>
      <w:r>
        <w:rPr>
          <w:rFonts w:ascii="Calibri" w:hAnsi="Calibri"/>
          <w:sz w:val="22"/>
          <w:szCs w:val="22"/>
        </w:rPr>
        <w:tab/>
        <w:t xml:space="preserve">Figure </w:t>
      </w:r>
      <w:r w:rsidR="00240684">
        <w:rPr>
          <w:rFonts w:ascii="Calibri" w:hAnsi="Calibri"/>
          <w:sz w:val="22"/>
          <w:szCs w:val="22"/>
        </w:rPr>
        <w:t>3</w:t>
      </w:r>
      <w:r w:rsidR="008B306D">
        <w:rPr>
          <w:rFonts w:ascii="Calibri" w:hAnsi="Calibri"/>
          <w:sz w:val="22"/>
          <w:szCs w:val="22"/>
        </w:rPr>
        <w:t>5</w:t>
      </w:r>
      <w:r>
        <w:rPr>
          <w:rFonts w:ascii="Calibri" w:hAnsi="Calibri"/>
          <w:sz w:val="22"/>
          <w:szCs w:val="22"/>
        </w:rPr>
        <w:t xml:space="preserve"> sets out the CIL monitoring information required by Regulation 62 (as amended).</w:t>
      </w:r>
    </w:p>
    <w:p w:rsidR="00D10B9D" w:rsidRDefault="00D10B9D"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p w:rsidR="00213F1E" w:rsidRDefault="00213F1E" w:rsidP="00240684">
      <w:pPr>
        <w:pStyle w:val="Header"/>
        <w:shd w:val="clear" w:color="auto" w:fill="FFFFFF" w:themeFill="background1"/>
        <w:tabs>
          <w:tab w:val="clear" w:pos="4513"/>
          <w:tab w:val="clear" w:pos="9026"/>
        </w:tabs>
        <w:ind w:left="360"/>
        <w:jc w:val="both"/>
        <w:rPr>
          <w:rFonts w:ascii="Calibri" w:hAnsi="Calibri"/>
          <w:sz w:val="22"/>
          <w:szCs w:val="22"/>
        </w:rPr>
      </w:pPr>
    </w:p>
    <w:tbl>
      <w:tblPr>
        <w:tblStyle w:val="TableGrid1"/>
        <w:tblW w:w="0" w:type="auto"/>
        <w:tblInd w:w="36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Look w:val="04A0" w:firstRow="1" w:lastRow="0" w:firstColumn="1" w:lastColumn="0" w:noHBand="0" w:noVBand="1"/>
      </w:tblPr>
      <w:tblGrid>
        <w:gridCol w:w="1449"/>
        <w:gridCol w:w="6096"/>
        <w:gridCol w:w="1337"/>
      </w:tblGrid>
      <w:tr w:rsidR="00D10B9D" w:rsidRPr="00D10B9D" w:rsidTr="00213F1E">
        <w:tc>
          <w:tcPr>
            <w:tcW w:w="1449" w:type="dxa"/>
            <w:shd w:val="clear" w:color="auto" w:fill="E5DFEC" w:themeFill="accent4" w:themeFillTint="33"/>
          </w:tcPr>
          <w:p w:rsidR="00D10B9D" w:rsidRPr="00213F1E" w:rsidRDefault="00D10B9D" w:rsidP="00D10B9D">
            <w:pPr>
              <w:contextualSpacing/>
              <w:jc w:val="center"/>
              <w:rPr>
                <w:rFonts w:asciiTheme="minorHAnsi" w:hAnsiTheme="minorHAnsi" w:cstheme="minorHAnsi"/>
                <w:b/>
                <w:sz w:val="20"/>
                <w:szCs w:val="20"/>
              </w:rPr>
            </w:pPr>
            <w:r w:rsidRPr="00213F1E">
              <w:rPr>
                <w:rFonts w:asciiTheme="minorHAnsi" w:hAnsiTheme="minorHAnsi" w:cstheme="minorHAnsi"/>
                <w:b/>
                <w:sz w:val="20"/>
                <w:szCs w:val="20"/>
              </w:rPr>
              <w:lastRenderedPageBreak/>
              <w:t>Regulation 62 Reference</w:t>
            </w:r>
          </w:p>
        </w:tc>
        <w:tc>
          <w:tcPr>
            <w:tcW w:w="6096" w:type="dxa"/>
            <w:shd w:val="clear" w:color="auto" w:fill="E5DFEC" w:themeFill="accent4" w:themeFillTint="33"/>
          </w:tcPr>
          <w:p w:rsidR="00D10B9D" w:rsidRPr="00213F1E" w:rsidRDefault="00213F1E" w:rsidP="00D10B9D">
            <w:pPr>
              <w:contextualSpacing/>
              <w:jc w:val="center"/>
              <w:rPr>
                <w:rFonts w:asciiTheme="minorHAnsi" w:hAnsiTheme="minorHAnsi" w:cstheme="minorHAnsi"/>
                <w:b/>
                <w:sz w:val="20"/>
                <w:szCs w:val="20"/>
              </w:rPr>
            </w:pPr>
            <w:r w:rsidRPr="00213F1E">
              <w:rPr>
                <w:rFonts w:ascii="Calibri" w:eastAsia="Calibri" w:hAnsi="Calibri" w:cs="Calibri"/>
                <w:b/>
                <w:noProof/>
                <w:color w:val="000000"/>
                <w:sz w:val="32"/>
                <w:szCs w:val="32"/>
                <w:lang w:eastAsia="en-GB"/>
              </w:rPr>
              <mc:AlternateContent>
                <mc:Choice Requires="wps">
                  <w:drawing>
                    <wp:anchor distT="0" distB="0" distL="114300" distR="114300" simplePos="0" relativeHeight="251894784" behindDoc="0" locked="0" layoutInCell="1" allowOverlap="1" wp14:anchorId="497CC599" wp14:editId="52B55E7D">
                      <wp:simplePos x="0" y="0"/>
                      <wp:positionH relativeFrom="column">
                        <wp:posOffset>2546985</wp:posOffset>
                      </wp:positionH>
                      <wp:positionV relativeFrom="paragraph">
                        <wp:posOffset>-551815</wp:posOffset>
                      </wp:positionV>
                      <wp:extent cx="2122805" cy="352425"/>
                      <wp:effectExtent l="0" t="0" r="0" b="9525"/>
                      <wp:wrapNone/>
                      <wp:docPr id="241" name="Text Box 241"/>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213F1E">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1" o:spid="_x0000_s1092" type="#_x0000_t202" style="position:absolute;left:0;text-align:left;margin-left:200.55pt;margin-top:-43.45pt;width:167.15pt;height:27.7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" fillcolor="window" stroked="f" strokeweight=".5pt">
                      <v:textbox>
                        <w:txbxContent>
                          <w:p w:rsidR="000D3CFF" w:rsidRPr="00483A60" w:rsidRDefault="000D3CFF" w:rsidP="00213F1E">
                            <w:pPr>
                              <w:jc w:val="right"/>
                              <w:rPr>
                                <w:b/>
                                <w:color w:val="7030A0"/>
                              </w:rPr>
                            </w:pPr>
                            <w:r w:rsidRPr="00483A60">
                              <w:rPr>
                                <w:b/>
                                <w:color w:val="7030A0"/>
                              </w:rPr>
                              <w:t>Efficient, Effective Council</w:t>
                            </w:r>
                          </w:p>
                        </w:txbxContent>
                      </v:textbox>
                    </v:shape>
                  </w:pict>
                </mc:Fallback>
              </mc:AlternateContent>
            </w:r>
            <w:r w:rsidR="00D10B9D" w:rsidRPr="00213F1E">
              <w:rPr>
                <w:rFonts w:asciiTheme="minorHAnsi" w:hAnsiTheme="minorHAnsi" w:cstheme="minorHAnsi"/>
                <w:b/>
                <w:sz w:val="20"/>
                <w:szCs w:val="20"/>
              </w:rPr>
              <w:t>Description</w:t>
            </w:r>
          </w:p>
        </w:tc>
        <w:tc>
          <w:tcPr>
            <w:tcW w:w="1337" w:type="dxa"/>
            <w:shd w:val="clear" w:color="auto" w:fill="E5DFEC" w:themeFill="accent4" w:themeFillTint="33"/>
          </w:tcPr>
          <w:p w:rsidR="00D10B9D" w:rsidRPr="00213F1E" w:rsidRDefault="00D10B9D" w:rsidP="00D10B9D">
            <w:pPr>
              <w:contextualSpacing/>
              <w:jc w:val="center"/>
              <w:rPr>
                <w:rFonts w:asciiTheme="minorHAnsi" w:hAnsiTheme="minorHAnsi" w:cstheme="minorHAnsi"/>
                <w:b/>
                <w:sz w:val="20"/>
                <w:szCs w:val="20"/>
              </w:rPr>
            </w:pPr>
            <w:r w:rsidRPr="00213F1E">
              <w:rPr>
                <w:rFonts w:asciiTheme="minorHAnsi" w:hAnsiTheme="minorHAnsi" w:cstheme="minorHAnsi"/>
                <w:b/>
                <w:sz w:val="20"/>
                <w:szCs w:val="20"/>
              </w:rPr>
              <w:t>Amount Collected</w:t>
            </w:r>
            <w:r w:rsidR="00213F1E" w:rsidRPr="00213F1E">
              <w:rPr>
                <w:rFonts w:asciiTheme="minorHAnsi" w:hAnsiTheme="minorHAnsi" w:cstheme="minorHAnsi"/>
                <w:b/>
                <w:sz w:val="20"/>
                <w:szCs w:val="20"/>
              </w:rPr>
              <w:t xml:space="preserve"> </w:t>
            </w:r>
            <w:r w:rsidRPr="00213F1E">
              <w:rPr>
                <w:rFonts w:asciiTheme="minorHAnsi" w:hAnsiTheme="minorHAnsi" w:cstheme="minorHAnsi"/>
                <w:b/>
                <w:sz w:val="20"/>
                <w:szCs w:val="20"/>
              </w:rPr>
              <w:t>/Project Title</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(3)</w:t>
            </w:r>
          </w:p>
        </w:tc>
        <w:tc>
          <w:tcPr>
            <w:tcW w:w="6096"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Land payments made in respect of CIL charged by the City Council, and CIL collected by way of a land payment which has not been spent if at</w:t>
            </w:r>
            <w:r w:rsidR="00213F1E" w:rsidRPr="00213F1E">
              <w:rPr>
                <w:rFonts w:asciiTheme="minorHAnsi" w:hAnsiTheme="minorHAnsi" w:cstheme="minorHAnsi"/>
                <w:sz w:val="20"/>
                <w:szCs w:val="20"/>
              </w:rPr>
              <w:t xml:space="preserve"> the end of the reported year:-</w:t>
            </w:r>
          </w:p>
          <w:p w:rsidR="00D10B9D" w:rsidRPr="00213F1E" w:rsidRDefault="00D10B9D" w:rsidP="004335B5">
            <w:pPr>
              <w:numPr>
                <w:ilvl w:val="0"/>
                <w:numId w:val="28"/>
              </w:numPr>
              <w:ind w:left="360"/>
              <w:contextualSpacing/>
              <w:rPr>
                <w:rFonts w:asciiTheme="minorHAnsi" w:hAnsiTheme="minorHAnsi" w:cstheme="minorHAnsi"/>
                <w:sz w:val="20"/>
                <w:szCs w:val="20"/>
              </w:rPr>
            </w:pPr>
            <w:r w:rsidRPr="00213F1E">
              <w:rPr>
                <w:rFonts w:asciiTheme="minorHAnsi" w:hAnsiTheme="minorHAnsi" w:cstheme="minorHAnsi"/>
                <w:sz w:val="20"/>
                <w:szCs w:val="20"/>
              </w:rPr>
              <w:t xml:space="preserve">development consistent with a relevant purpose has not </w:t>
            </w:r>
            <w:proofErr w:type="spellStart"/>
            <w:r w:rsidRPr="00213F1E">
              <w:rPr>
                <w:rFonts w:asciiTheme="minorHAnsi" w:hAnsiTheme="minorHAnsi" w:cstheme="minorHAnsi"/>
                <w:sz w:val="20"/>
                <w:szCs w:val="20"/>
              </w:rPr>
              <w:t>commenced</w:t>
            </w:r>
            <w:proofErr w:type="spellEnd"/>
            <w:r w:rsidRPr="00213F1E">
              <w:rPr>
                <w:rFonts w:asciiTheme="minorHAnsi" w:hAnsiTheme="minorHAnsi" w:cstheme="minorHAnsi"/>
                <w:sz w:val="20"/>
                <w:szCs w:val="20"/>
              </w:rPr>
              <w:t xml:space="preserve"> on the acquired land; or</w:t>
            </w:r>
          </w:p>
          <w:p w:rsidR="00D10B9D" w:rsidRPr="00213F1E" w:rsidRDefault="00D10B9D" w:rsidP="004335B5">
            <w:pPr>
              <w:numPr>
                <w:ilvl w:val="0"/>
                <w:numId w:val="28"/>
              </w:numPr>
              <w:ind w:left="360"/>
              <w:contextualSpacing/>
              <w:rPr>
                <w:rFonts w:asciiTheme="minorHAnsi" w:hAnsiTheme="minorHAnsi" w:cstheme="minorHAnsi"/>
                <w:sz w:val="20"/>
                <w:szCs w:val="20"/>
              </w:rPr>
            </w:pPr>
            <w:r w:rsidRPr="00213F1E">
              <w:rPr>
                <w:rFonts w:asciiTheme="minorHAnsi" w:hAnsiTheme="minorHAnsi" w:cstheme="minorHAnsi"/>
                <w:sz w:val="20"/>
                <w:szCs w:val="20"/>
              </w:rPr>
              <w:t>the acquired land (in whole or in part) has been used or disposed of for a purpose other than a relevant purpose; and the amount deemed to be CIL by virtue of regulation 73(9) has not been spent.</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(3A)</w:t>
            </w:r>
          </w:p>
        </w:tc>
        <w:tc>
          <w:tcPr>
            <w:tcW w:w="6096" w:type="dxa"/>
          </w:tcPr>
          <w:p w:rsidR="00D10B9D" w:rsidRPr="00213F1E" w:rsidRDefault="004335B5" w:rsidP="004335B5">
            <w:pPr>
              <w:contextualSpacing/>
              <w:rPr>
                <w:rFonts w:asciiTheme="minorHAnsi" w:hAnsiTheme="minorHAnsi" w:cstheme="minorHAnsi"/>
                <w:sz w:val="20"/>
                <w:szCs w:val="20"/>
              </w:rPr>
            </w:pPr>
            <w:r w:rsidRPr="00213F1E">
              <w:rPr>
                <w:rFonts w:asciiTheme="minorHAnsi" w:hAnsiTheme="minorHAnsi" w:cstheme="minorHAnsi"/>
                <w:sz w:val="20"/>
                <w:szCs w:val="20"/>
              </w:rPr>
              <w:t>Infrastructure payments made in respect of CIL charged by the City Council, and CIL collected by way of an infrastructure payment which has not been spent if at the end of the reported year the infrastructure to be provided has not been provided</w:t>
            </w:r>
          </w:p>
        </w:tc>
        <w:tc>
          <w:tcPr>
            <w:tcW w:w="1337" w:type="dxa"/>
          </w:tcPr>
          <w:p w:rsidR="00D10B9D" w:rsidRPr="00213F1E" w:rsidRDefault="004335B5"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4(a)</w:t>
            </w:r>
          </w:p>
        </w:tc>
        <w:tc>
          <w:tcPr>
            <w:tcW w:w="6096" w:type="dxa"/>
          </w:tcPr>
          <w:p w:rsidR="00D10B9D" w:rsidRPr="00213F1E" w:rsidRDefault="00D10B9D" w:rsidP="0017428D">
            <w:pPr>
              <w:contextualSpacing/>
              <w:rPr>
                <w:rFonts w:asciiTheme="minorHAnsi" w:hAnsiTheme="minorHAnsi" w:cstheme="minorHAnsi"/>
                <w:sz w:val="20"/>
                <w:szCs w:val="20"/>
              </w:rPr>
            </w:pPr>
            <w:r w:rsidRPr="00213F1E">
              <w:rPr>
                <w:rFonts w:asciiTheme="minorHAnsi" w:hAnsiTheme="minorHAnsi" w:cstheme="minorHAnsi"/>
                <w:sz w:val="20"/>
                <w:szCs w:val="20"/>
              </w:rPr>
              <w:t xml:space="preserve">Total CIL receipts for </w:t>
            </w:r>
            <w:r w:rsidR="0017428D" w:rsidRPr="00213F1E">
              <w:rPr>
                <w:rFonts w:asciiTheme="minorHAnsi" w:hAnsiTheme="minorHAnsi" w:cstheme="minorHAnsi"/>
                <w:sz w:val="20"/>
                <w:szCs w:val="20"/>
              </w:rPr>
              <w:t>2013/14</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£7,064</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4(b)</w:t>
            </w:r>
          </w:p>
        </w:tc>
        <w:tc>
          <w:tcPr>
            <w:tcW w:w="6096" w:type="dxa"/>
          </w:tcPr>
          <w:p w:rsidR="00D10B9D" w:rsidRPr="00213F1E" w:rsidRDefault="00D10B9D" w:rsidP="0017428D">
            <w:pPr>
              <w:contextualSpacing/>
              <w:rPr>
                <w:rFonts w:asciiTheme="minorHAnsi" w:hAnsiTheme="minorHAnsi" w:cstheme="minorHAnsi"/>
                <w:sz w:val="20"/>
                <w:szCs w:val="20"/>
              </w:rPr>
            </w:pPr>
            <w:r w:rsidRPr="00213F1E">
              <w:rPr>
                <w:rFonts w:asciiTheme="minorHAnsi" w:hAnsiTheme="minorHAnsi" w:cstheme="minorHAnsi"/>
                <w:sz w:val="20"/>
                <w:szCs w:val="20"/>
              </w:rPr>
              <w:t xml:space="preserve">Total CIL expenditure for </w:t>
            </w:r>
            <w:r w:rsidR="0017428D" w:rsidRPr="00213F1E">
              <w:rPr>
                <w:rFonts w:asciiTheme="minorHAnsi" w:hAnsiTheme="minorHAnsi" w:cstheme="minorHAnsi"/>
                <w:sz w:val="20"/>
                <w:szCs w:val="20"/>
              </w:rPr>
              <w:t>2013/14</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£0</w:t>
            </w:r>
            <w:r w:rsidR="00C95D28" w:rsidRPr="00213F1E">
              <w:rPr>
                <w:rFonts w:asciiTheme="minorHAnsi" w:hAnsiTheme="minorHAnsi" w:cstheme="minorHAnsi"/>
                <w:sz w:val="20"/>
                <w:szCs w:val="20"/>
              </w:rPr>
              <w:t>.00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 (</w:t>
            </w:r>
            <w:proofErr w:type="spellStart"/>
            <w:r w:rsidRPr="00213F1E">
              <w:rPr>
                <w:rFonts w:asciiTheme="minorHAnsi" w:hAnsiTheme="minorHAnsi" w:cstheme="minorHAnsi"/>
                <w:sz w:val="20"/>
                <w:szCs w:val="20"/>
              </w:rPr>
              <w:t>i</w:t>
            </w:r>
            <w:proofErr w:type="spellEnd"/>
            <w:r w:rsidRPr="00213F1E">
              <w:rPr>
                <w:rFonts w:asciiTheme="minorHAnsi" w:hAnsiTheme="minorHAnsi" w:cstheme="minorHAnsi"/>
                <w:sz w:val="20"/>
                <w:szCs w:val="20"/>
              </w:rPr>
              <w:t>)</w:t>
            </w:r>
          </w:p>
        </w:tc>
        <w:tc>
          <w:tcPr>
            <w:tcW w:w="6096"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The items of infrastructure to which CIL (including land payments) has been applied</w:t>
            </w:r>
          </w:p>
        </w:tc>
        <w:tc>
          <w:tcPr>
            <w:tcW w:w="1337" w:type="dxa"/>
          </w:tcPr>
          <w:p w:rsidR="00D10B9D"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N/A</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 (ii)</w:t>
            </w:r>
          </w:p>
        </w:tc>
        <w:tc>
          <w:tcPr>
            <w:tcW w:w="6096"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Amount of CIL expenditure on each item</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£0</w:t>
            </w:r>
            <w:r w:rsidR="00C95D28" w:rsidRPr="00213F1E">
              <w:rPr>
                <w:rFonts w:asciiTheme="minorHAnsi" w:hAnsiTheme="minorHAnsi" w:cstheme="minorHAnsi"/>
                <w:sz w:val="20"/>
                <w:szCs w:val="20"/>
              </w:rPr>
              <w:t>.00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 (iii)</w:t>
            </w:r>
          </w:p>
        </w:tc>
        <w:tc>
          <w:tcPr>
            <w:tcW w:w="6096"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Amount of CIL applied to repay money borrowed, including any interest with details of the infrastructure items which that money was used to provide (wholly or in part)</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£0</w:t>
            </w:r>
            <w:r w:rsidR="00C95D28" w:rsidRPr="00213F1E">
              <w:rPr>
                <w:rFonts w:asciiTheme="minorHAnsi" w:hAnsiTheme="minorHAnsi" w:cstheme="minorHAnsi"/>
                <w:sz w:val="20"/>
                <w:szCs w:val="20"/>
              </w:rPr>
              <w:t>.00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 (iv)</w:t>
            </w:r>
          </w:p>
        </w:tc>
        <w:tc>
          <w:tcPr>
            <w:tcW w:w="6096"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Amount of CIL applied to administrative expenses pursuant to regulation 61, and that amount expressed as a percentage of CIL collected in that year in accordance with that regulation</w:t>
            </w:r>
          </w:p>
        </w:tc>
        <w:tc>
          <w:tcPr>
            <w:tcW w:w="1337" w:type="dxa"/>
          </w:tcPr>
          <w:p w:rsidR="00D10B9D" w:rsidRPr="00213F1E" w:rsidRDefault="00D10B9D" w:rsidP="00D10B9D">
            <w:pPr>
              <w:contextualSpacing/>
              <w:rPr>
                <w:rFonts w:asciiTheme="minorHAnsi" w:hAnsiTheme="minorHAnsi" w:cstheme="minorHAnsi"/>
                <w:sz w:val="20"/>
                <w:szCs w:val="20"/>
              </w:rPr>
            </w:pPr>
            <w:r w:rsidRPr="00213F1E">
              <w:rPr>
                <w:rFonts w:asciiTheme="minorHAnsi" w:hAnsiTheme="minorHAnsi" w:cstheme="minorHAnsi"/>
                <w:sz w:val="20"/>
                <w:szCs w:val="20"/>
              </w:rPr>
              <w:t>£353.20 (5%)</w:t>
            </w:r>
          </w:p>
        </w:tc>
      </w:tr>
      <w:tr w:rsidR="00BD7AA3" w:rsidRPr="00D10B9D" w:rsidTr="00213F1E">
        <w:tc>
          <w:tcPr>
            <w:tcW w:w="1449" w:type="dxa"/>
          </w:tcPr>
          <w:p w:rsidR="00BD7AA3" w:rsidRPr="00213F1E" w:rsidRDefault="00BD7AA3"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w:t>
            </w:r>
            <w:proofErr w:type="spellStart"/>
            <w:r w:rsidRPr="00213F1E">
              <w:rPr>
                <w:rFonts w:asciiTheme="minorHAnsi" w:hAnsiTheme="minorHAnsi" w:cstheme="minorHAnsi"/>
                <w:sz w:val="20"/>
                <w:szCs w:val="20"/>
              </w:rPr>
              <w:t>ca</w:t>
            </w:r>
            <w:proofErr w:type="spellEnd"/>
            <w:r w:rsidRPr="00213F1E">
              <w:rPr>
                <w:rFonts w:asciiTheme="minorHAnsi" w:hAnsiTheme="minorHAnsi" w:cstheme="minorHAnsi"/>
                <w:sz w:val="20"/>
                <w:szCs w:val="20"/>
              </w:rPr>
              <w:t>)</w:t>
            </w:r>
          </w:p>
        </w:tc>
        <w:tc>
          <w:tcPr>
            <w:tcW w:w="6096" w:type="dxa"/>
          </w:tcPr>
          <w:p w:rsidR="00BD7AA3" w:rsidRPr="00213F1E" w:rsidRDefault="00BD7AA3" w:rsidP="00D10B9D">
            <w:pPr>
              <w:contextualSpacing/>
              <w:rPr>
                <w:rFonts w:asciiTheme="minorHAnsi" w:hAnsiTheme="minorHAnsi" w:cstheme="minorHAnsi"/>
                <w:sz w:val="20"/>
                <w:szCs w:val="20"/>
              </w:rPr>
            </w:pPr>
            <w:r w:rsidRPr="00213F1E">
              <w:rPr>
                <w:rFonts w:asciiTheme="minorHAnsi" w:hAnsiTheme="minorHAnsi" w:cstheme="minorHAnsi"/>
                <w:sz w:val="20"/>
                <w:szCs w:val="20"/>
              </w:rPr>
              <w:t>Amount of C</w:t>
            </w:r>
            <w:r w:rsidR="00463381" w:rsidRPr="00213F1E">
              <w:rPr>
                <w:rFonts w:asciiTheme="minorHAnsi" w:hAnsiTheme="minorHAnsi" w:cstheme="minorHAnsi"/>
                <w:sz w:val="20"/>
                <w:szCs w:val="20"/>
              </w:rPr>
              <w:t>I</w:t>
            </w:r>
            <w:r w:rsidRPr="00213F1E">
              <w:rPr>
                <w:rFonts w:asciiTheme="minorHAnsi" w:hAnsiTheme="minorHAnsi" w:cstheme="minorHAnsi"/>
                <w:sz w:val="20"/>
                <w:szCs w:val="20"/>
              </w:rPr>
              <w:t>L passed to any local council (i.e. a parish council) under regulation 59A or 59B; and</w:t>
            </w:r>
          </w:p>
          <w:p w:rsidR="00BD7AA3" w:rsidRPr="00213F1E" w:rsidRDefault="00BD7AA3" w:rsidP="00BD7AA3">
            <w:pPr>
              <w:contextualSpacing/>
              <w:rPr>
                <w:rFonts w:asciiTheme="minorHAnsi" w:hAnsiTheme="minorHAnsi" w:cstheme="minorHAnsi"/>
                <w:sz w:val="20"/>
                <w:szCs w:val="20"/>
              </w:rPr>
            </w:pPr>
            <w:r w:rsidRPr="00213F1E">
              <w:rPr>
                <w:rFonts w:asciiTheme="minorHAnsi" w:hAnsiTheme="minorHAnsi" w:cstheme="minorHAnsi"/>
                <w:sz w:val="20"/>
                <w:szCs w:val="20"/>
              </w:rPr>
              <w:t xml:space="preserve">Any person under regulation 59(4) (i.e. to another person for that person to apply to funding the provision, improvement, replacement,  operation or maintenance of infrastructure) </w:t>
            </w:r>
          </w:p>
        </w:tc>
        <w:tc>
          <w:tcPr>
            <w:tcW w:w="1337" w:type="dxa"/>
          </w:tcPr>
          <w:p w:rsidR="00BD7AA3" w:rsidRPr="00213F1E" w:rsidRDefault="00BD7AA3" w:rsidP="00D10B9D">
            <w:pPr>
              <w:contextualSpacing/>
              <w:rPr>
                <w:rFonts w:asciiTheme="minorHAnsi" w:hAnsiTheme="minorHAnsi" w:cstheme="minorHAnsi"/>
                <w:sz w:val="20"/>
                <w:szCs w:val="20"/>
              </w:rPr>
            </w:pPr>
            <w:r w:rsidRPr="00213F1E">
              <w:rPr>
                <w:rFonts w:asciiTheme="minorHAnsi" w:hAnsiTheme="minorHAnsi" w:cstheme="minorHAnsi"/>
                <w:sz w:val="20"/>
                <w:szCs w:val="20"/>
              </w:rPr>
              <w:t>£0</w:t>
            </w:r>
            <w:r w:rsidR="00C95D28" w:rsidRPr="00213F1E">
              <w:rPr>
                <w:rFonts w:asciiTheme="minorHAnsi" w:hAnsiTheme="minorHAnsi" w:cstheme="minorHAnsi"/>
                <w:sz w:val="20"/>
                <w:szCs w:val="20"/>
              </w:rPr>
              <w:t>.00</w:t>
            </w:r>
          </w:p>
        </w:tc>
      </w:tr>
      <w:tr w:rsidR="00BD7AA3" w:rsidRPr="00D10B9D" w:rsidTr="00213F1E">
        <w:tc>
          <w:tcPr>
            <w:tcW w:w="1449" w:type="dxa"/>
          </w:tcPr>
          <w:p w:rsidR="00BD7AA3" w:rsidRPr="00213F1E" w:rsidRDefault="00463381"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w:t>
            </w:r>
            <w:proofErr w:type="spellStart"/>
            <w:r w:rsidRPr="00213F1E">
              <w:rPr>
                <w:rFonts w:asciiTheme="minorHAnsi" w:hAnsiTheme="minorHAnsi" w:cstheme="minorHAnsi"/>
                <w:sz w:val="20"/>
                <w:szCs w:val="20"/>
              </w:rPr>
              <w:t>cb</w:t>
            </w:r>
            <w:proofErr w:type="spellEnd"/>
            <w:r w:rsidRPr="00213F1E">
              <w:rPr>
                <w:rFonts w:asciiTheme="minorHAnsi" w:hAnsiTheme="minorHAnsi" w:cstheme="minorHAnsi"/>
                <w:sz w:val="20"/>
                <w:szCs w:val="20"/>
              </w:rPr>
              <w:t>) (</w:t>
            </w:r>
            <w:proofErr w:type="spellStart"/>
            <w:r w:rsidRPr="00213F1E">
              <w:rPr>
                <w:rFonts w:asciiTheme="minorHAnsi" w:hAnsiTheme="minorHAnsi" w:cstheme="minorHAnsi"/>
                <w:sz w:val="20"/>
                <w:szCs w:val="20"/>
              </w:rPr>
              <w:t>i</w:t>
            </w:r>
            <w:proofErr w:type="spellEnd"/>
            <w:r w:rsidRPr="00213F1E">
              <w:rPr>
                <w:rFonts w:asciiTheme="minorHAnsi" w:hAnsiTheme="minorHAnsi" w:cstheme="minorHAnsi"/>
                <w:sz w:val="20"/>
                <w:szCs w:val="20"/>
              </w:rPr>
              <w:t>)</w:t>
            </w:r>
          </w:p>
        </w:tc>
        <w:tc>
          <w:tcPr>
            <w:tcW w:w="6096" w:type="dxa"/>
          </w:tcPr>
          <w:p w:rsidR="00BD7AA3" w:rsidRPr="00213F1E" w:rsidRDefault="00463381" w:rsidP="00C95D28">
            <w:pPr>
              <w:contextualSpacing/>
              <w:rPr>
                <w:rFonts w:asciiTheme="minorHAnsi" w:hAnsiTheme="minorHAnsi" w:cstheme="minorHAnsi"/>
                <w:sz w:val="20"/>
                <w:szCs w:val="20"/>
              </w:rPr>
            </w:pPr>
            <w:r w:rsidRPr="00213F1E">
              <w:rPr>
                <w:rFonts w:asciiTheme="minorHAnsi" w:hAnsiTheme="minorHAnsi" w:cstheme="minorHAnsi"/>
                <w:sz w:val="20"/>
                <w:szCs w:val="20"/>
              </w:rPr>
              <w:t>Total CIL receipts that regulations 59E and 59F applied to (i.e. CIL recovered from parish councils</w:t>
            </w:r>
            <w:r w:rsidR="00D4526E" w:rsidRPr="00213F1E">
              <w:rPr>
                <w:rFonts w:asciiTheme="minorHAnsi" w:hAnsiTheme="minorHAnsi" w:cstheme="minorHAnsi"/>
                <w:sz w:val="20"/>
                <w:szCs w:val="20"/>
              </w:rPr>
              <w:t xml:space="preserve"> because it hasn’t been spent</w:t>
            </w:r>
            <w:r w:rsidR="00C95D28" w:rsidRPr="00213F1E">
              <w:rPr>
                <w:rFonts w:asciiTheme="minorHAnsi" w:hAnsiTheme="minorHAnsi" w:cstheme="minorHAnsi"/>
                <w:sz w:val="20"/>
                <w:szCs w:val="20"/>
              </w:rPr>
              <w:t>, or the neighbourhood element of CIL in areas that do not have parish councils)</w:t>
            </w:r>
            <w:r w:rsidRPr="00213F1E">
              <w:rPr>
                <w:rFonts w:asciiTheme="minorHAnsi" w:hAnsiTheme="minorHAnsi" w:cstheme="minorHAnsi"/>
                <w:sz w:val="20"/>
                <w:szCs w:val="20"/>
              </w:rPr>
              <w:t xml:space="preserve"> </w:t>
            </w:r>
          </w:p>
        </w:tc>
        <w:tc>
          <w:tcPr>
            <w:tcW w:w="1337" w:type="dxa"/>
          </w:tcPr>
          <w:p w:rsidR="00BD7AA3" w:rsidRPr="00213F1E" w:rsidRDefault="00C95D28" w:rsidP="00D10B9D">
            <w:pPr>
              <w:contextualSpacing/>
              <w:rPr>
                <w:rFonts w:asciiTheme="minorHAnsi" w:hAnsiTheme="minorHAnsi" w:cstheme="minorHAnsi"/>
                <w:sz w:val="20"/>
                <w:szCs w:val="20"/>
                <w:highlight w:val="yellow"/>
              </w:rPr>
            </w:pPr>
            <w:r w:rsidRPr="00213F1E">
              <w:rPr>
                <w:rFonts w:asciiTheme="minorHAnsi" w:hAnsiTheme="minorHAnsi" w:cstheme="minorHAnsi"/>
                <w:sz w:val="20"/>
                <w:szCs w:val="20"/>
              </w:rPr>
              <w:t>£</w:t>
            </w:r>
            <w:r w:rsidR="00460536" w:rsidRPr="00213F1E">
              <w:rPr>
                <w:rFonts w:asciiTheme="minorHAnsi" w:hAnsiTheme="minorHAnsi" w:cstheme="minorHAnsi"/>
                <w:sz w:val="20"/>
                <w:szCs w:val="20"/>
              </w:rPr>
              <w:t>1,059.60</w:t>
            </w:r>
          </w:p>
        </w:tc>
      </w:tr>
      <w:tr w:rsidR="00463381" w:rsidRPr="00D10B9D" w:rsidTr="00213F1E">
        <w:tc>
          <w:tcPr>
            <w:tcW w:w="1449" w:type="dxa"/>
          </w:tcPr>
          <w:p w:rsidR="00463381" w:rsidRPr="00213F1E" w:rsidRDefault="00C95D28"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w:t>
            </w:r>
            <w:proofErr w:type="spellStart"/>
            <w:r w:rsidRPr="00213F1E">
              <w:rPr>
                <w:rFonts w:asciiTheme="minorHAnsi" w:hAnsiTheme="minorHAnsi" w:cstheme="minorHAnsi"/>
                <w:sz w:val="20"/>
                <w:szCs w:val="20"/>
              </w:rPr>
              <w:t>cb</w:t>
            </w:r>
            <w:proofErr w:type="spellEnd"/>
            <w:r w:rsidRPr="00213F1E">
              <w:rPr>
                <w:rFonts w:asciiTheme="minorHAnsi" w:hAnsiTheme="minorHAnsi" w:cstheme="minorHAnsi"/>
                <w:sz w:val="20"/>
                <w:szCs w:val="20"/>
              </w:rPr>
              <w:t>) (ii)</w:t>
            </w:r>
          </w:p>
        </w:tc>
        <w:tc>
          <w:tcPr>
            <w:tcW w:w="6096" w:type="dxa"/>
          </w:tcPr>
          <w:p w:rsidR="00463381"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The items to which the CIL receipts to which regulations 59E and 59F applied have been applied</w:t>
            </w:r>
          </w:p>
        </w:tc>
        <w:tc>
          <w:tcPr>
            <w:tcW w:w="1337" w:type="dxa"/>
          </w:tcPr>
          <w:p w:rsidR="00463381"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N/A</w:t>
            </w:r>
          </w:p>
        </w:tc>
      </w:tr>
      <w:tr w:rsidR="00463381" w:rsidRPr="00D10B9D" w:rsidTr="00213F1E">
        <w:tc>
          <w:tcPr>
            <w:tcW w:w="1449" w:type="dxa"/>
          </w:tcPr>
          <w:p w:rsidR="00463381" w:rsidRPr="00213F1E" w:rsidRDefault="00C95D28"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w:t>
            </w:r>
            <w:proofErr w:type="spellStart"/>
            <w:r w:rsidRPr="00213F1E">
              <w:rPr>
                <w:rFonts w:asciiTheme="minorHAnsi" w:hAnsiTheme="minorHAnsi" w:cstheme="minorHAnsi"/>
                <w:sz w:val="20"/>
                <w:szCs w:val="20"/>
              </w:rPr>
              <w:t>cb</w:t>
            </w:r>
            <w:proofErr w:type="spellEnd"/>
            <w:r w:rsidRPr="00213F1E">
              <w:rPr>
                <w:rFonts w:asciiTheme="minorHAnsi" w:hAnsiTheme="minorHAnsi" w:cstheme="minorHAnsi"/>
                <w:sz w:val="20"/>
                <w:szCs w:val="20"/>
              </w:rPr>
              <w:t>) (iii)</w:t>
            </w:r>
          </w:p>
        </w:tc>
        <w:tc>
          <w:tcPr>
            <w:tcW w:w="6096" w:type="dxa"/>
          </w:tcPr>
          <w:p w:rsidR="00463381"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Amount of expenditure on each item</w:t>
            </w:r>
          </w:p>
        </w:tc>
        <w:tc>
          <w:tcPr>
            <w:tcW w:w="1337" w:type="dxa"/>
          </w:tcPr>
          <w:p w:rsidR="00463381"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C95D28" w:rsidRPr="00D10B9D" w:rsidTr="00213F1E">
        <w:tc>
          <w:tcPr>
            <w:tcW w:w="1449" w:type="dxa"/>
          </w:tcPr>
          <w:p w:rsidR="00C95D28" w:rsidRPr="00213F1E" w:rsidRDefault="00C95D28"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(cc) (</w:t>
            </w:r>
            <w:proofErr w:type="spellStart"/>
            <w:r w:rsidRPr="00213F1E">
              <w:rPr>
                <w:rFonts w:asciiTheme="minorHAnsi" w:hAnsiTheme="minorHAnsi" w:cstheme="minorHAnsi"/>
                <w:sz w:val="20"/>
                <w:szCs w:val="20"/>
              </w:rPr>
              <w:t>i</w:t>
            </w:r>
            <w:proofErr w:type="spellEnd"/>
            <w:r w:rsidRPr="00213F1E">
              <w:rPr>
                <w:rFonts w:asciiTheme="minorHAnsi" w:hAnsiTheme="minorHAnsi" w:cstheme="minorHAnsi"/>
                <w:sz w:val="20"/>
                <w:szCs w:val="20"/>
              </w:rPr>
              <w:t>)</w:t>
            </w:r>
          </w:p>
        </w:tc>
        <w:tc>
          <w:tcPr>
            <w:tcW w:w="6096" w:type="dxa"/>
          </w:tcPr>
          <w:p w:rsidR="00C95D28"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Total value of CIL receipts requested from each local council under a notice served in accordance with regulation 59E</w:t>
            </w:r>
          </w:p>
        </w:tc>
        <w:tc>
          <w:tcPr>
            <w:tcW w:w="1337" w:type="dxa"/>
          </w:tcPr>
          <w:p w:rsidR="00C95D28"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C95D28" w:rsidRPr="00D10B9D" w:rsidTr="00213F1E">
        <w:tc>
          <w:tcPr>
            <w:tcW w:w="1449" w:type="dxa"/>
          </w:tcPr>
          <w:p w:rsidR="00C95D28" w:rsidRPr="00213F1E" w:rsidRDefault="00C95D28"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(cc) (ii)</w:t>
            </w:r>
          </w:p>
        </w:tc>
        <w:tc>
          <w:tcPr>
            <w:tcW w:w="6096" w:type="dxa"/>
          </w:tcPr>
          <w:p w:rsidR="00C95D28" w:rsidRPr="00213F1E" w:rsidRDefault="00C95D28" w:rsidP="0017428D">
            <w:pPr>
              <w:contextualSpacing/>
              <w:rPr>
                <w:rFonts w:asciiTheme="minorHAnsi" w:hAnsiTheme="minorHAnsi" w:cstheme="minorHAnsi"/>
                <w:sz w:val="20"/>
                <w:szCs w:val="20"/>
              </w:rPr>
            </w:pPr>
            <w:r w:rsidRPr="00213F1E">
              <w:rPr>
                <w:rFonts w:asciiTheme="minorHAnsi" w:hAnsiTheme="minorHAnsi" w:cstheme="minorHAnsi"/>
                <w:sz w:val="20"/>
                <w:szCs w:val="20"/>
              </w:rPr>
              <w:t xml:space="preserve">Any funds not yet recovered from each local council at the end of </w:t>
            </w:r>
            <w:r w:rsidR="0017428D" w:rsidRPr="00213F1E">
              <w:rPr>
                <w:rFonts w:asciiTheme="minorHAnsi" w:hAnsiTheme="minorHAnsi" w:cstheme="minorHAnsi"/>
                <w:sz w:val="20"/>
                <w:szCs w:val="20"/>
              </w:rPr>
              <w:t>2013/14</w:t>
            </w:r>
            <w:r w:rsidRPr="00213F1E">
              <w:rPr>
                <w:rFonts w:asciiTheme="minorHAnsi" w:hAnsiTheme="minorHAnsi" w:cstheme="minorHAnsi"/>
                <w:sz w:val="20"/>
                <w:szCs w:val="20"/>
              </w:rPr>
              <w:t xml:space="preserve"> following a notice served in accordance with regulation 59E</w:t>
            </w:r>
          </w:p>
        </w:tc>
        <w:tc>
          <w:tcPr>
            <w:tcW w:w="1337" w:type="dxa"/>
          </w:tcPr>
          <w:p w:rsidR="00C95D28" w:rsidRPr="00213F1E" w:rsidRDefault="00C95D28"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D10B9D" w:rsidRPr="00D10B9D" w:rsidTr="00213F1E">
        <w:tc>
          <w:tcPr>
            <w:tcW w:w="1449" w:type="dxa"/>
          </w:tcPr>
          <w:p w:rsidR="00D10B9D" w:rsidRPr="00213F1E" w:rsidRDefault="00D10B9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(d)</w:t>
            </w:r>
            <w:r w:rsidR="00C95D28" w:rsidRPr="00213F1E">
              <w:rPr>
                <w:rFonts w:asciiTheme="minorHAnsi" w:hAnsiTheme="minorHAnsi" w:cstheme="minorHAnsi"/>
                <w:sz w:val="20"/>
                <w:szCs w:val="20"/>
              </w:rPr>
              <w:t xml:space="preserve"> (</w:t>
            </w:r>
            <w:proofErr w:type="spellStart"/>
            <w:r w:rsidR="00C95D28" w:rsidRPr="00213F1E">
              <w:rPr>
                <w:rFonts w:asciiTheme="minorHAnsi" w:hAnsiTheme="minorHAnsi" w:cstheme="minorHAnsi"/>
                <w:sz w:val="20"/>
                <w:szCs w:val="20"/>
              </w:rPr>
              <w:t>i</w:t>
            </w:r>
            <w:proofErr w:type="spellEnd"/>
            <w:r w:rsidR="00C95D28" w:rsidRPr="00213F1E">
              <w:rPr>
                <w:rFonts w:asciiTheme="minorHAnsi" w:hAnsiTheme="minorHAnsi" w:cstheme="minorHAnsi"/>
                <w:sz w:val="20"/>
                <w:szCs w:val="20"/>
              </w:rPr>
              <w:t>)</w:t>
            </w:r>
          </w:p>
        </w:tc>
        <w:tc>
          <w:tcPr>
            <w:tcW w:w="6096" w:type="dxa"/>
          </w:tcPr>
          <w:p w:rsidR="00D10B9D" w:rsidRPr="00213F1E" w:rsidRDefault="00D10B9D" w:rsidP="0017428D">
            <w:pPr>
              <w:contextualSpacing/>
              <w:rPr>
                <w:rFonts w:asciiTheme="minorHAnsi" w:hAnsiTheme="minorHAnsi" w:cstheme="minorHAnsi"/>
                <w:sz w:val="20"/>
                <w:szCs w:val="20"/>
              </w:rPr>
            </w:pPr>
            <w:r w:rsidRPr="00213F1E">
              <w:rPr>
                <w:rFonts w:asciiTheme="minorHAnsi" w:hAnsiTheme="minorHAnsi" w:cstheme="minorHAnsi"/>
                <w:sz w:val="20"/>
                <w:szCs w:val="20"/>
              </w:rPr>
              <w:t xml:space="preserve">Total amount of CIL receipts retained at the end of </w:t>
            </w:r>
            <w:r w:rsidR="0017428D" w:rsidRPr="00213F1E">
              <w:rPr>
                <w:rFonts w:asciiTheme="minorHAnsi" w:hAnsiTheme="minorHAnsi" w:cstheme="minorHAnsi"/>
                <w:sz w:val="20"/>
                <w:szCs w:val="20"/>
              </w:rPr>
              <w:t>2013/14</w:t>
            </w:r>
            <w:r w:rsidR="00C95D28" w:rsidRPr="00213F1E">
              <w:rPr>
                <w:rFonts w:asciiTheme="minorHAnsi" w:hAnsiTheme="minorHAnsi" w:cstheme="minorHAnsi"/>
                <w:sz w:val="20"/>
                <w:szCs w:val="20"/>
              </w:rPr>
              <w:t>, other than those to which regulation 59E or 59F applied (i.e. CIL recovered from parish councils, or the neighbourhood element of CIL in areas that do not have parish councils)</w:t>
            </w:r>
          </w:p>
        </w:tc>
        <w:tc>
          <w:tcPr>
            <w:tcW w:w="1337" w:type="dxa"/>
          </w:tcPr>
          <w:p w:rsidR="00D10B9D" w:rsidRPr="00213F1E" w:rsidRDefault="00D10B9D" w:rsidP="00460536">
            <w:pPr>
              <w:contextualSpacing/>
              <w:rPr>
                <w:rFonts w:asciiTheme="minorHAnsi" w:hAnsiTheme="minorHAnsi" w:cstheme="minorHAnsi"/>
                <w:sz w:val="20"/>
                <w:szCs w:val="20"/>
              </w:rPr>
            </w:pPr>
            <w:r w:rsidRPr="00213F1E">
              <w:rPr>
                <w:rFonts w:asciiTheme="minorHAnsi" w:hAnsiTheme="minorHAnsi" w:cstheme="minorHAnsi"/>
                <w:sz w:val="20"/>
                <w:szCs w:val="20"/>
              </w:rPr>
              <w:t>£</w:t>
            </w:r>
            <w:r w:rsidR="00460536" w:rsidRPr="00213F1E">
              <w:rPr>
                <w:rFonts w:asciiTheme="minorHAnsi" w:hAnsiTheme="minorHAnsi" w:cstheme="minorHAnsi"/>
                <w:sz w:val="20"/>
                <w:szCs w:val="20"/>
              </w:rPr>
              <w:t>6004.40</w:t>
            </w:r>
          </w:p>
        </w:tc>
      </w:tr>
      <w:tr w:rsidR="00C95D28" w:rsidRPr="00D10B9D" w:rsidTr="00213F1E">
        <w:tc>
          <w:tcPr>
            <w:tcW w:w="1449" w:type="dxa"/>
          </w:tcPr>
          <w:p w:rsidR="00C95D28" w:rsidRPr="00213F1E" w:rsidRDefault="00C95D28"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(d) (ii)</w:t>
            </w:r>
          </w:p>
        </w:tc>
        <w:tc>
          <w:tcPr>
            <w:tcW w:w="6096" w:type="dxa"/>
          </w:tcPr>
          <w:p w:rsidR="00C95D28" w:rsidRPr="00213F1E" w:rsidRDefault="00C95D28" w:rsidP="0017428D">
            <w:pPr>
              <w:contextualSpacing/>
              <w:rPr>
                <w:rFonts w:asciiTheme="minorHAnsi" w:hAnsiTheme="minorHAnsi" w:cstheme="minorHAnsi"/>
                <w:sz w:val="20"/>
                <w:szCs w:val="20"/>
              </w:rPr>
            </w:pPr>
            <w:r w:rsidRPr="00213F1E">
              <w:rPr>
                <w:rFonts w:asciiTheme="minorHAnsi" w:hAnsiTheme="minorHAnsi" w:cstheme="minorHAnsi"/>
                <w:sz w:val="20"/>
                <w:szCs w:val="20"/>
              </w:rPr>
              <w:t xml:space="preserve">CIL receipts from previous years retained at the end of </w:t>
            </w:r>
            <w:r w:rsidR="0017428D" w:rsidRPr="00213F1E">
              <w:rPr>
                <w:rFonts w:asciiTheme="minorHAnsi" w:hAnsiTheme="minorHAnsi" w:cstheme="minorHAnsi"/>
                <w:sz w:val="20"/>
                <w:szCs w:val="20"/>
              </w:rPr>
              <w:t>2013/14</w:t>
            </w:r>
            <w:r w:rsidRPr="00213F1E">
              <w:rPr>
                <w:rFonts w:asciiTheme="minorHAnsi" w:hAnsiTheme="minorHAnsi" w:cstheme="minorHAnsi"/>
                <w:sz w:val="20"/>
                <w:szCs w:val="20"/>
              </w:rPr>
              <w:t xml:space="preserve"> other than those to which regulation 59E or 59F applied</w:t>
            </w:r>
          </w:p>
        </w:tc>
        <w:tc>
          <w:tcPr>
            <w:tcW w:w="1337" w:type="dxa"/>
          </w:tcPr>
          <w:p w:rsidR="00C95D28" w:rsidRPr="00213F1E" w:rsidRDefault="0017428D"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17428D" w:rsidRPr="00D10B9D" w:rsidTr="00213F1E">
        <w:tc>
          <w:tcPr>
            <w:tcW w:w="1449" w:type="dxa"/>
          </w:tcPr>
          <w:p w:rsidR="0017428D" w:rsidRPr="00213F1E" w:rsidRDefault="0017428D"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(d) (iii)</w:t>
            </w:r>
          </w:p>
        </w:tc>
        <w:tc>
          <w:tcPr>
            <w:tcW w:w="6096" w:type="dxa"/>
          </w:tcPr>
          <w:p w:rsidR="0017428D" w:rsidRPr="00213F1E" w:rsidRDefault="0017428D" w:rsidP="00D4526E">
            <w:pPr>
              <w:contextualSpacing/>
              <w:rPr>
                <w:rFonts w:asciiTheme="minorHAnsi" w:hAnsiTheme="minorHAnsi" w:cstheme="minorHAnsi"/>
                <w:sz w:val="20"/>
                <w:szCs w:val="20"/>
              </w:rPr>
            </w:pPr>
            <w:r w:rsidRPr="00213F1E">
              <w:rPr>
                <w:rFonts w:asciiTheme="minorHAnsi" w:hAnsiTheme="minorHAnsi" w:cstheme="minorHAnsi"/>
                <w:sz w:val="20"/>
                <w:szCs w:val="20"/>
              </w:rPr>
              <w:t xml:space="preserve">CIL receipts for </w:t>
            </w:r>
            <w:r w:rsidR="00D4526E" w:rsidRPr="00213F1E">
              <w:rPr>
                <w:rFonts w:asciiTheme="minorHAnsi" w:hAnsiTheme="minorHAnsi" w:cstheme="minorHAnsi"/>
                <w:sz w:val="20"/>
                <w:szCs w:val="20"/>
              </w:rPr>
              <w:t>2013/14 to which regulation 59E or 59F applied retained at the end of 2013/14</w:t>
            </w:r>
          </w:p>
        </w:tc>
        <w:tc>
          <w:tcPr>
            <w:tcW w:w="1337" w:type="dxa"/>
          </w:tcPr>
          <w:p w:rsidR="0017428D"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w:t>
            </w:r>
            <w:r w:rsidR="00460536" w:rsidRPr="00213F1E">
              <w:rPr>
                <w:rFonts w:asciiTheme="minorHAnsi" w:hAnsiTheme="minorHAnsi" w:cstheme="minorHAnsi"/>
                <w:sz w:val="20"/>
                <w:szCs w:val="20"/>
              </w:rPr>
              <w:t>1,059.60</w:t>
            </w:r>
          </w:p>
        </w:tc>
      </w:tr>
      <w:tr w:rsidR="0017428D" w:rsidRPr="00D10B9D" w:rsidTr="00213F1E">
        <w:tc>
          <w:tcPr>
            <w:tcW w:w="1449" w:type="dxa"/>
          </w:tcPr>
          <w:p w:rsidR="0017428D" w:rsidRPr="00213F1E" w:rsidRDefault="00D4526E"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(d) (iv)</w:t>
            </w:r>
          </w:p>
        </w:tc>
        <w:tc>
          <w:tcPr>
            <w:tcW w:w="6096" w:type="dxa"/>
          </w:tcPr>
          <w:p w:rsidR="0017428D"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CIL receipts from previous years to which regulation 59E or 59F applied retained at the end of 2013/14</w:t>
            </w:r>
          </w:p>
        </w:tc>
        <w:tc>
          <w:tcPr>
            <w:tcW w:w="1337" w:type="dxa"/>
          </w:tcPr>
          <w:p w:rsidR="0017428D"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£0.00</w:t>
            </w:r>
          </w:p>
        </w:tc>
      </w:tr>
      <w:tr w:rsidR="00D4526E" w:rsidRPr="00D10B9D" w:rsidTr="00213F1E">
        <w:tc>
          <w:tcPr>
            <w:tcW w:w="1449" w:type="dxa"/>
          </w:tcPr>
          <w:p w:rsidR="00D4526E" w:rsidRPr="00213F1E" w:rsidRDefault="00D4526E"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(e) (</w:t>
            </w:r>
            <w:proofErr w:type="spellStart"/>
            <w:r w:rsidRPr="00213F1E">
              <w:rPr>
                <w:rFonts w:asciiTheme="minorHAnsi" w:hAnsiTheme="minorHAnsi" w:cstheme="minorHAnsi"/>
                <w:sz w:val="20"/>
                <w:szCs w:val="20"/>
              </w:rPr>
              <w:t>i</w:t>
            </w:r>
            <w:proofErr w:type="spellEnd"/>
            <w:r w:rsidRPr="00213F1E">
              <w:rPr>
                <w:rFonts w:asciiTheme="minorHAnsi" w:hAnsiTheme="minorHAnsi" w:cstheme="minorHAnsi"/>
                <w:sz w:val="20"/>
                <w:szCs w:val="20"/>
              </w:rPr>
              <w:t>)</w:t>
            </w:r>
          </w:p>
        </w:tc>
        <w:tc>
          <w:tcPr>
            <w:tcW w:w="6096" w:type="dxa"/>
          </w:tcPr>
          <w:p w:rsidR="00D4526E"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In relation to any infrastructure payments accepted, the items of infrastructure to which the infrastructure payments relate</w:t>
            </w:r>
          </w:p>
        </w:tc>
        <w:tc>
          <w:tcPr>
            <w:tcW w:w="1337" w:type="dxa"/>
          </w:tcPr>
          <w:p w:rsidR="00D4526E"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N/A</w:t>
            </w:r>
          </w:p>
        </w:tc>
      </w:tr>
      <w:tr w:rsidR="00D4526E" w:rsidRPr="00D10B9D" w:rsidTr="00213F1E">
        <w:tc>
          <w:tcPr>
            <w:tcW w:w="1449" w:type="dxa"/>
          </w:tcPr>
          <w:p w:rsidR="00D4526E" w:rsidRPr="00213F1E" w:rsidRDefault="00D4526E" w:rsidP="00D10B9D">
            <w:pPr>
              <w:contextualSpacing/>
              <w:jc w:val="center"/>
              <w:rPr>
                <w:rFonts w:asciiTheme="minorHAnsi" w:hAnsiTheme="minorHAnsi" w:cstheme="minorHAnsi"/>
                <w:sz w:val="20"/>
                <w:szCs w:val="20"/>
              </w:rPr>
            </w:pPr>
            <w:r w:rsidRPr="00213F1E">
              <w:rPr>
                <w:rFonts w:asciiTheme="minorHAnsi" w:hAnsiTheme="minorHAnsi" w:cstheme="minorHAnsi"/>
                <w:sz w:val="20"/>
                <w:szCs w:val="20"/>
              </w:rPr>
              <w:t>4 (e) (ii)</w:t>
            </w:r>
          </w:p>
        </w:tc>
        <w:tc>
          <w:tcPr>
            <w:tcW w:w="6096" w:type="dxa"/>
          </w:tcPr>
          <w:p w:rsidR="00D4526E" w:rsidRPr="00213F1E" w:rsidRDefault="00D4526E" w:rsidP="00D10B9D">
            <w:pPr>
              <w:contextualSpacing/>
              <w:rPr>
                <w:rFonts w:asciiTheme="minorHAnsi" w:hAnsiTheme="minorHAnsi" w:cstheme="minorHAnsi"/>
                <w:sz w:val="20"/>
                <w:szCs w:val="20"/>
              </w:rPr>
            </w:pPr>
            <w:r w:rsidRPr="00213F1E">
              <w:rPr>
                <w:rFonts w:asciiTheme="minorHAnsi" w:hAnsiTheme="minorHAnsi" w:cstheme="minorHAnsi"/>
                <w:sz w:val="20"/>
                <w:szCs w:val="20"/>
              </w:rPr>
              <w:t>In relation to any infrastructure payments accepted, the amount of CIL to which each item of infrastructure relates</w:t>
            </w:r>
          </w:p>
        </w:tc>
        <w:tc>
          <w:tcPr>
            <w:tcW w:w="1337" w:type="dxa"/>
          </w:tcPr>
          <w:p w:rsidR="00D4526E" w:rsidRPr="00213F1E" w:rsidRDefault="00240684" w:rsidP="00D10B9D">
            <w:pPr>
              <w:contextualSpacing/>
              <w:rPr>
                <w:rFonts w:asciiTheme="minorHAnsi" w:hAnsiTheme="minorHAnsi" w:cstheme="minorHAnsi"/>
                <w:sz w:val="20"/>
                <w:szCs w:val="20"/>
              </w:rPr>
            </w:pPr>
            <w:r w:rsidRPr="00213F1E">
              <w:rPr>
                <w:rFonts w:asciiTheme="minorHAnsi" w:hAnsiTheme="minorHAnsi" w:cstheme="minorHAnsi"/>
                <w:sz w:val="20"/>
                <w:szCs w:val="20"/>
              </w:rPr>
              <w:t>N/A</w:t>
            </w:r>
          </w:p>
        </w:tc>
      </w:tr>
    </w:tbl>
    <w:p w:rsidR="00A05F0F" w:rsidRPr="00213F1E" w:rsidRDefault="008B306D" w:rsidP="00213F1E">
      <w:pPr>
        <w:pStyle w:val="Header"/>
        <w:shd w:val="clear" w:color="auto" w:fill="FFFFFF" w:themeFill="background1"/>
        <w:tabs>
          <w:tab w:val="clear" w:pos="4513"/>
          <w:tab w:val="clear" w:pos="9026"/>
        </w:tabs>
        <w:ind w:left="360"/>
        <w:jc w:val="center"/>
        <w:rPr>
          <w:rFonts w:ascii="Calibri" w:hAnsi="Calibri"/>
          <w:sz w:val="20"/>
          <w:szCs w:val="20"/>
        </w:rPr>
      </w:pPr>
      <w:r>
        <w:rPr>
          <w:rFonts w:ascii="Calibri" w:hAnsi="Calibri"/>
          <w:b/>
          <w:sz w:val="20"/>
          <w:szCs w:val="20"/>
        </w:rPr>
        <w:t>Figure 35</w:t>
      </w:r>
      <w:r w:rsidR="00240684" w:rsidRPr="00240684">
        <w:rPr>
          <w:rFonts w:ascii="Calibri" w:hAnsi="Calibri"/>
          <w:b/>
          <w:sz w:val="20"/>
          <w:szCs w:val="20"/>
        </w:rPr>
        <w:t>:</w:t>
      </w:r>
      <w:r w:rsidR="00240684" w:rsidRPr="00240684">
        <w:rPr>
          <w:rFonts w:ascii="Calibri" w:hAnsi="Calibri"/>
          <w:sz w:val="20"/>
          <w:szCs w:val="20"/>
        </w:rPr>
        <w:t xml:space="preserve"> CIL monitoring information required by CIL regulation 62 (as amended)</w:t>
      </w:r>
    </w:p>
    <w:p w:rsidR="00A05F0F" w:rsidRDefault="00213F1E" w:rsidP="00A05F0F">
      <w:pPr>
        <w:shd w:val="clear" w:color="auto" w:fill="E5DFEC" w:themeFill="accent4" w:themeFillTint="33"/>
        <w:rPr>
          <w:rFonts w:asciiTheme="minorHAnsi" w:hAnsiTheme="minorHAnsi" w:cstheme="minorHAnsi"/>
          <w:b/>
          <w:color w:val="403152" w:themeColor="accent4" w:themeShade="80"/>
          <w:sz w:val="28"/>
          <w:szCs w:val="22"/>
        </w:rPr>
      </w:pPr>
      <w:r w:rsidRPr="00213F1E">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892736" behindDoc="0" locked="0" layoutInCell="1" allowOverlap="1" wp14:anchorId="18D43CF7" wp14:editId="2133818F">
                <wp:simplePos x="0" y="0"/>
                <wp:positionH relativeFrom="column">
                  <wp:posOffset>3771900</wp:posOffset>
                </wp:positionH>
                <wp:positionV relativeFrom="paragraph">
                  <wp:posOffset>-564515</wp:posOffset>
                </wp:positionV>
                <wp:extent cx="2122805" cy="352425"/>
                <wp:effectExtent l="0" t="0" r="0" b="9525"/>
                <wp:wrapNone/>
                <wp:docPr id="224" name="Text Box 224"/>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213F1E">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4" o:spid="_x0000_s1093" type="#_x0000_t202" style="position:absolute;margin-left:297pt;margin-top:-44.45pt;width:167.15pt;height:27.7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" fillcolor="window" stroked="f" strokeweight=".5pt">
                <v:textbox>
                  <w:txbxContent>
                    <w:p w:rsidR="000D3CFF" w:rsidRPr="00483A60" w:rsidRDefault="000D3CFF" w:rsidP="00213F1E">
                      <w:pPr>
                        <w:jc w:val="right"/>
                        <w:rPr>
                          <w:b/>
                          <w:color w:val="7030A0"/>
                        </w:rPr>
                      </w:pPr>
                      <w:r w:rsidRPr="00483A60">
                        <w:rPr>
                          <w:b/>
                          <w:color w:val="7030A0"/>
                        </w:rPr>
                        <w:t>Efficient, Effective Council</w:t>
                      </w:r>
                    </w:p>
                  </w:txbxContent>
                </v:textbox>
              </v:shape>
            </w:pict>
          </mc:Fallback>
        </mc:AlternateContent>
      </w:r>
      <w:r w:rsidR="00A05F0F">
        <w:rPr>
          <w:rFonts w:asciiTheme="minorHAnsi" w:hAnsiTheme="minorHAnsi" w:cstheme="minorHAnsi"/>
          <w:b/>
          <w:color w:val="403152" w:themeColor="accent4" w:themeShade="80"/>
          <w:sz w:val="28"/>
          <w:szCs w:val="22"/>
        </w:rPr>
        <w:t>Financial Contributions towards Affordable Housing</w:t>
      </w:r>
    </w:p>
    <w:p w:rsidR="00F768DE" w:rsidRDefault="00F768DE" w:rsidP="00F768DE">
      <w:pPr>
        <w:rPr>
          <w:rFonts w:asciiTheme="minorHAnsi" w:hAnsiTheme="minorHAnsi" w:cstheme="minorHAnsi"/>
          <w:sz w:val="22"/>
          <w:szCs w:val="22"/>
        </w:rPr>
      </w:pPr>
    </w:p>
    <w:p w:rsidR="004E4ABD" w:rsidRDefault="004E4ABD" w:rsidP="004335B5">
      <w:pPr>
        <w:pStyle w:val="Header"/>
        <w:numPr>
          <w:ilvl w:val="1"/>
          <w:numId w:val="17"/>
        </w:numPr>
        <w:tabs>
          <w:tab w:val="clear" w:pos="4513"/>
          <w:tab w:val="clear" w:pos="9026"/>
        </w:tabs>
        <w:spacing w:after="60"/>
        <w:jc w:val="both"/>
        <w:rPr>
          <w:rFonts w:ascii="Calibri" w:hAnsi="Calibri"/>
          <w:sz w:val="22"/>
          <w:szCs w:val="22"/>
        </w:rPr>
      </w:pPr>
      <w:r>
        <w:rPr>
          <w:rFonts w:ascii="Calibri" w:hAnsi="Calibri"/>
          <w:sz w:val="22"/>
          <w:szCs w:val="22"/>
        </w:rPr>
        <w:t xml:space="preserve">Oxford’s affordable housing policies are: </w:t>
      </w:r>
    </w:p>
    <w:p w:rsidR="004E4ABD" w:rsidRDefault="004E4ABD" w:rsidP="004335B5">
      <w:pPr>
        <w:pStyle w:val="Header"/>
        <w:numPr>
          <w:ilvl w:val="0"/>
          <w:numId w:val="21"/>
        </w:numPr>
        <w:tabs>
          <w:tab w:val="clear" w:pos="4513"/>
          <w:tab w:val="clear" w:pos="9026"/>
        </w:tabs>
        <w:spacing w:after="60"/>
        <w:jc w:val="both"/>
        <w:rPr>
          <w:rFonts w:ascii="Calibri" w:hAnsi="Calibri"/>
          <w:sz w:val="22"/>
          <w:szCs w:val="22"/>
        </w:rPr>
      </w:pPr>
      <w:r>
        <w:rPr>
          <w:rFonts w:ascii="Calibri" w:hAnsi="Calibri"/>
          <w:sz w:val="22"/>
          <w:szCs w:val="22"/>
        </w:rPr>
        <w:t>Core Strategy Policy CS24 (a</w:t>
      </w:r>
      <w:r w:rsidR="00A85BEA" w:rsidRPr="004E4ABD">
        <w:rPr>
          <w:rFonts w:ascii="Calibri" w:hAnsi="Calibri"/>
          <w:sz w:val="22"/>
          <w:szCs w:val="22"/>
        </w:rPr>
        <w:t xml:space="preserve">ffordable </w:t>
      </w:r>
      <w:r>
        <w:rPr>
          <w:rFonts w:ascii="Calibri" w:hAnsi="Calibri"/>
          <w:sz w:val="22"/>
          <w:szCs w:val="22"/>
        </w:rPr>
        <w:t>homes from</w:t>
      </w:r>
      <w:r w:rsidR="00A85BEA" w:rsidRPr="004E4ABD">
        <w:rPr>
          <w:rFonts w:ascii="Calibri" w:hAnsi="Calibri"/>
          <w:sz w:val="22"/>
          <w:szCs w:val="22"/>
        </w:rPr>
        <w:t xml:space="preserve"> residen</w:t>
      </w:r>
      <w:r>
        <w:rPr>
          <w:rFonts w:ascii="Calibri" w:hAnsi="Calibri"/>
          <w:sz w:val="22"/>
          <w:szCs w:val="22"/>
        </w:rPr>
        <w:t xml:space="preserve">tial and commercial development); </w:t>
      </w:r>
    </w:p>
    <w:p w:rsidR="004E4ABD" w:rsidRDefault="004E4ABD" w:rsidP="004335B5">
      <w:pPr>
        <w:pStyle w:val="Header"/>
        <w:numPr>
          <w:ilvl w:val="0"/>
          <w:numId w:val="21"/>
        </w:numPr>
        <w:tabs>
          <w:tab w:val="clear" w:pos="4513"/>
          <w:tab w:val="clear" w:pos="9026"/>
        </w:tabs>
        <w:spacing w:after="60"/>
        <w:jc w:val="both"/>
        <w:rPr>
          <w:rFonts w:ascii="Calibri" w:hAnsi="Calibri"/>
          <w:sz w:val="22"/>
          <w:szCs w:val="22"/>
        </w:rPr>
      </w:pPr>
      <w:r>
        <w:rPr>
          <w:rFonts w:ascii="Calibri" w:hAnsi="Calibri"/>
          <w:sz w:val="22"/>
          <w:szCs w:val="22"/>
        </w:rPr>
        <w:t>Sites and Housing Policy HP3 (affordable h</w:t>
      </w:r>
      <w:r w:rsidR="00A85BEA" w:rsidRPr="004E4ABD">
        <w:rPr>
          <w:rFonts w:ascii="Calibri" w:hAnsi="Calibri"/>
          <w:sz w:val="22"/>
          <w:szCs w:val="22"/>
        </w:rPr>
        <w:t xml:space="preserve">omes from </w:t>
      </w:r>
      <w:r w:rsidRPr="004E4ABD">
        <w:rPr>
          <w:rFonts w:ascii="Calibri" w:hAnsi="Calibri"/>
          <w:sz w:val="22"/>
          <w:szCs w:val="22"/>
        </w:rPr>
        <w:t>large housing sites);</w:t>
      </w:r>
      <w:r>
        <w:rPr>
          <w:rFonts w:ascii="Calibri" w:hAnsi="Calibri"/>
          <w:sz w:val="22"/>
          <w:szCs w:val="22"/>
        </w:rPr>
        <w:t xml:space="preserve"> </w:t>
      </w:r>
    </w:p>
    <w:p w:rsidR="004E4ABD" w:rsidRDefault="00A85BEA" w:rsidP="004335B5">
      <w:pPr>
        <w:pStyle w:val="Header"/>
        <w:numPr>
          <w:ilvl w:val="0"/>
          <w:numId w:val="21"/>
        </w:numPr>
        <w:tabs>
          <w:tab w:val="clear" w:pos="4513"/>
          <w:tab w:val="clear" w:pos="9026"/>
        </w:tabs>
        <w:spacing w:after="60"/>
        <w:jc w:val="both"/>
        <w:rPr>
          <w:rFonts w:ascii="Calibri" w:hAnsi="Calibri"/>
          <w:sz w:val="22"/>
          <w:szCs w:val="22"/>
        </w:rPr>
      </w:pPr>
      <w:r w:rsidRPr="004E4ABD">
        <w:rPr>
          <w:rFonts w:ascii="Calibri" w:hAnsi="Calibri"/>
          <w:sz w:val="22"/>
          <w:szCs w:val="22"/>
        </w:rPr>
        <w:t>Sites and Housing Policy HP4 (</w:t>
      </w:r>
      <w:r w:rsidR="004E4ABD" w:rsidRPr="004E4ABD">
        <w:rPr>
          <w:rFonts w:ascii="Calibri" w:hAnsi="Calibri"/>
          <w:sz w:val="22"/>
          <w:szCs w:val="22"/>
        </w:rPr>
        <w:t>affordable homes from small housing sites</w:t>
      </w:r>
      <w:r w:rsidRPr="004E4ABD">
        <w:rPr>
          <w:rFonts w:ascii="Calibri" w:hAnsi="Calibri"/>
          <w:sz w:val="22"/>
          <w:szCs w:val="22"/>
        </w:rPr>
        <w:t>); and</w:t>
      </w:r>
      <w:r w:rsidR="004E4ABD">
        <w:rPr>
          <w:rFonts w:ascii="Calibri" w:hAnsi="Calibri"/>
          <w:sz w:val="22"/>
          <w:szCs w:val="22"/>
        </w:rPr>
        <w:t xml:space="preserve"> </w:t>
      </w:r>
    </w:p>
    <w:p w:rsidR="00A85BEA" w:rsidRDefault="00A85BEA" w:rsidP="004335B5">
      <w:pPr>
        <w:pStyle w:val="Header"/>
        <w:numPr>
          <w:ilvl w:val="0"/>
          <w:numId w:val="21"/>
        </w:numPr>
        <w:tabs>
          <w:tab w:val="clear" w:pos="4513"/>
          <w:tab w:val="clear" w:pos="9026"/>
        </w:tabs>
        <w:spacing w:after="60"/>
        <w:jc w:val="both"/>
        <w:rPr>
          <w:rFonts w:ascii="Calibri" w:hAnsi="Calibri"/>
          <w:sz w:val="22"/>
          <w:szCs w:val="22"/>
        </w:rPr>
      </w:pPr>
      <w:r w:rsidRPr="004E4ABD">
        <w:rPr>
          <w:rFonts w:ascii="Calibri" w:hAnsi="Calibri"/>
          <w:sz w:val="22"/>
          <w:szCs w:val="22"/>
        </w:rPr>
        <w:t>Sites and Housing Policy HP6 (</w:t>
      </w:r>
      <w:r w:rsidR="004E4ABD" w:rsidRPr="004E4ABD">
        <w:rPr>
          <w:rFonts w:ascii="Calibri" w:hAnsi="Calibri"/>
          <w:sz w:val="22"/>
          <w:szCs w:val="22"/>
        </w:rPr>
        <w:t>affordable housing from student accommodation</w:t>
      </w:r>
      <w:r w:rsidRPr="004E4ABD">
        <w:rPr>
          <w:rFonts w:ascii="Calibri" w:hAnsi="Calibri"/>
          <w:sz w:val="22"/>
          <w:szCs w:val="22"/>
        </w:rPr>
        <w:t>)</w:t>
      </w:r>
      <w:r w:rsidR="004E4ABD">
        <w:rPr>
          <w:rFonts w:ascii="Calibri" w:hAnsi="Calibri"/>
          <w:sz w:val="22"/>
          <w:szCs w:val="22"/>
        </w:rPr>
        <w:t>.</w:t>
      </w:r>
    </w:p>
    <w:p w:rsidR="004E4ABD" w:rsidRPr="004E4ABD" w:rsidRDefault="004E4ABD" w:rsidP="0037328B">
      <w:pPr>
        <w:pStyle w:val="Header"/>
        <w:tabs>
          <w:tab w:val="clear" w:pos="4513"/>
          <w:tab w:val="clear" w:pos="9026"/>
        </w:tabs>
        <w:spacing w:after="60"/>
        <w:ind w:left="360"/>
        <w:jc w:val="both"/>
        <w:rPr>
          <w:rFonts w:ascii="Calibri" w:hAnsi="Calibri"/>
          <w:sz w:val="22"/>
          <w:szCs w:val="22"/>
        </w:rPr>
      </w:pPr>
      <w:r>
        <w:rPr>
          <w:rFonts w:ascii="Calibri" w:hAnsi="Calibri"/>
          <w:sz w:val="22"/>
          <w:szCs w:val="22"/>
        </w:rPr>
        <w:t xml:space="preserve">The implementation of these policies is supported by the Affordable Housing and Planning Obligations SPD. </w:t>
      </w:r>
    </w:p>
    <w:p w:rsidR="0037328B" w:rsidRDefault="0037328B" w:rsidP="0037328B">
      <w:pPr>
        <w:pStyle w:val="Header"/>
        <w:tabs>
          <w:tab w:val="clear" w:pos="4513"/>
          <w:tab w:val="clear" w:pos="9026"/>
        </w:tabs>
        <w:spacing w:after="60"/>
        <w:jc w:val="both"/>
        <w:rPr>
          <w:rFonts w:ascii="Calibri" w:hAnsi="Calibri"/>
          <w:sz w:val="22"/>
          <w:szCs w:val="22"/>
        </w:rPr>
      </w:pPr>
    </w:p>
    <w:p w:rsidR="004E4ABD" w:rsidRDefault="00775C63" w:rsidP="004335B5">
      <w:pPr>
        <w:pStyle w:val="Header"/>
        <w:numPr>
          <w:ilvl w:val="1"/>
          <w:numId w:val="17"/>
        </w:numPr>
        <w:tabs>
          <w:tab w:val="clear" w:pos="4513"/>
          <w:tab w:val="clear" w:pos="9026"/>
        </w:tabs>
        <w:spacing w:after="60"/>
        <w:ind w:hanging="357"/>
        <w:jc w:val="both"/>
        <w:rPr>
          <w:rFonts w:ascii="Calibri" w:hAnsi="Calibri"/>
          <w:sz w:val="22"/>
          <w:szCs w:val="22"/>
        </w:rPr>
      </w:pPr>
      <w:r>
        <w:rPr>
          <w:rFonts w:ascii="Calibri" w:hAnsi="Calibri"/>
          <w:sz w:val="22"/>
          <w:szCs w:val="22"/>
        </w:rPr>
        <w:t>Sites and Housing Plan P</w:t>
      </w:r>
      <w:r w:rsidR="004E4ABD" w:rsidRPr="0037328B">
        <w:rPr>
          <w:rFonts w:ascii="Calibri" w:hAnsi="Calibri"/>
          <w:sz w:val="22"/>
          <w:szCs w:val="22"/>
        </w:rPr>
        <w:t>olicies HP3, HP4 and HP6 include financial contributions toward affordable housing as a mechanism for providing affordable housing</w:t>
      </w:r>
      <w:r>
        <w:rPr>
          <w:rFonts w:ascii="Calibri" w:hAnsi="Calibri"/>
          <w:sz w:val="22"/>
          <w:szCs w:val="22"/>
        </w:rPr>
        <w:t xml:space="preserve"> in the city</w:t>
      </w:r>
      <w:r w:rsidR="004E4ABD" w:rsidRPr="0037328B">
        <w:rPr>
          <w:rFonts w:ascii="Calibri" w:hAnsi="Calibri"/>
          <w:sz w:val="22"/>
          <w:szCs w:val="22"/>
        </w:rPr>
        <w:t xml:space="preserve">. This is </w:t>
      </w:r>
      <w:r>
        <w:rPr>
          <w:rFonts w:ascii="Calibri" w:hAnsi="Calibri"/>
          <w:sz w:val="22"/>
          <w:szCs w:val="22"/>
        </w:rPr>
        <w:t>in addition</w:t>
      </w:r>
      <w:r w:rsidR="004E4ABD" w:rsidRPr="0037328B">
        <w:rPr>
          <w:rFonts w:ascii="Calibri" w:hAnsi="Calibri"/>
          <w:sz w:val="22"/>
          <w:szCs w:val="22"/>
        </w:rPr>
        <w:t xml:space="preserve"> to the C</w:t>
      </w:r>
      <w:r>
        <w:rPr>
          <w:rFonts w:ascii="Calibri" w:hAnsi="Calibri"/>
          <w:sz w:val="22"/>
          <w:szCs w:val="22"/>
        </w:rPr>
        <w:t>IL</w:t>
      </w:r>
      <w:r w:rsidR="004E4ABD" w:rsidRPr="0037328B">
        <w:rPr>
          <w:rFonts w:ascii="Calibri" w:hAnsi="Calibri"/>
          <w:sz w:val="22"/>
          <w:szCs w:val="22"/>
        </w:rPr>
        <w:t>, which does not cover contributions towards affordable housing. Financial contributions will be used to support the delivery of affordable housing elsewhere</w:t>
      </w:r>
      <w:r>
        <w:rPr>
          <w:rFonts w:ascii="Calibri" w:hAnsi="Calibri"/>
          <w:sz w:val="22"/>
          <w:szCs w:val="22"/>
        </w:rPr>
        <w:t xml:space="preserve"> in the city</w:t>
      </w:r>
      <w:r w:rsidR="004E4ABD" w:rsidRPr="0037328B">
        <w:rPr>
          <w:rFonts w:ascii="Calibri" w:hAnsi="Calibri"/>
          <w:sz w:val="22"/>
          <w:szCs w:val="22"/>
        </w:rPr>
        <w:t>, in line with Oxford’s Housing Strategy. Possible uses of financial contributions are:</w:t>
      </w:r>
    </w:p>
    <w:p w:rsidR="004E4ABD" w:rsidRDefault="004E4ABD" w:rsidP="004335B5">
      <w:pPr>
        <w:pStyle w:val="Header"/>
        <w:numPr>
          <w:ilvl w:val="0"/>
          <w:numId w:val="22"/>
        </w:numPr>
        <w:tabs>
          <w:tab w:val="clear" w:pos="4513"/>
          <w:tab w:val="clear" w:pos="9026"/>
        </w:tabs>
        <w:spacing w:after="60"/>
        <w:ind w:hanging="357"/>
        <w:jc w:val="both"/>
        <w:rPr>
          <w:rFonts w:ascii="Calibri" w:hAnsi="Calibri"/>
          <w:sz w:val="22"/>
          <w:szCs w:val="22"/>
        </w:rPr>
      </w:pPr>
      <w:r w:rsidRPr="0037328B">
        <w:rPr>
          <w:rFonts w:ascii="Calibri" w:hAnsi="Calibri"/>
          <w:sz w:val="22"/>
          <w:szCs w:val="22"/>
        </w:rPr>
        <w:t>Increase the number of affordable homes that are being delivered using the City Council’s own land;</w:t>
      </w:r>
    </w:p>
    <w:p w:rsidR="004E4ABD" w:rsidRDefault="004E4ABD" w:rsidP="004335B5">
      <w:pPr>
        <w:pStyle w:val="Header"/>
        <w:numPr>
          <w:ilvl w:val="0"/>
          <w:numId w:val="22"/>
        </w:numPr>
        <w:tabs>
          <w:tab w:val="clear" w:pos="4513"/>
          <w:tab w:val="clear" w:pos="9026"/>
        </w:tabs>
        <w:spacing w:after="60"/>
        <w:ind w:hanging="357"/>
        <w:jc w:val="both"/>
        <w:rPr>
          <w:rFonts w:ascii="Calibri" w:hAnsi="Calibri"/>
          <w:sz w:val="22"/>
          <w:szCs w:val="22"/>
        </w:rPr>
      </w:pPr>
      <w:r w:rsidRPr="0037328B">
        <w:rPr>
          <w:rFonts w:ascii="Calibri" w:hAnsi="Calibri"/>
          <w:sz w:val="22"/>
          <w:szCs w:val="22"/>
        </w:rPr>
        <w:t>Provide additional resources for affordable housing schemes proposed by Registered Providers to provide more affordable units, or a greater proportion of social rented units;</w:t>
      </w:r>
    </w:p>
    <w:p w:rsidR="004E4ABD" w:rsidRPr="0037328B" w:rsidRDefault="004E4ABD" w:rsidP="004335B5">
      <w:pPr>
        <w:pStyle w:val="Header"/>
        <w:numPr>
          <w:ilvl w:val="0"/>
          <w:numId w:val="22"/>
        </w:numPr>
        <w:tabs>
          <w:tab w:val="clear" w:pos="4513"/>
          <w:tab w:val="clear" w:pos="9026"/>
        </w:tabs>
        <w:spacing w:after="60"/>
        <w:ind w:hanging="357"/>
        <w:jc w:val="both"/>
        <w:rPr>
          <w:rFonts w:ascii="Calibri" w:hAnsi="Calibri"/>
          <w:sz w:val="22"/>
          <w:szCs w:val="22"/>
        </w:rPr>
      </w:pPr>
      <w:r w:rsidRPr="0037328B">
        <w:rPr>
          <w:rFonts w:ascii="Calibri" w:hAnsi="Calibri"/>
          <w:sz w:val="22"/>
          <w:szCs w:val="22"/>
        </w:rPr>
        <w:t>Extend or remodel existing affordable homes where this will help reduce priority housing needs in a cost-effective way (e.g. create family homes from small dwellings).</w:t>
      </w:r>
    </w:p>
    <w:p w:rsidR="004E4ABD" w:rsidRPr="004E4ABD" w:rsidRDefault="004E4ABD" w:rsidP="0037328B">
      <w:pPr>
        <w:pStyle w:val="Header"/>
        <w:tabs>
          <w:tab w:val="clear" w:pos="4513"/>
          <w:tab w:val="clear" w:pos="9026"/>
        </w:tabs>
        <w:spacing w:after="60"/>
        <w:ind w:left="360"/>
        <w:jc w:val="both"/>
        <w:rPr>
          <w:rFonts w:ascii="Calibri" w:hAnsi="Calibri"/>
          <w:sz w:val="22"/>
          <w:szCs w:val="22"/>
        </w:rPr>
      </w:pPr>
    </w:p>
    <w:p w:rsidR="00F768DE" w:rsidRPr="0037328B" w:rsidRDefault="0037328B" w:rsidP="004335B5">
      <w:pPr>
        <w:pStyle w:val="Header"/>
        <w:numPr>
          <w:ilvl w:val="1"/>
          <w:numId w:val="17"/>
        </w:numPr>
        <w:tabs>
          <w:tab w:val="clear" w:pos="4513"/>
          <w:tab w:val="clear" w:pos="9026"/>
        </w:tabs>
        <w:spacing w:after="60"/>
        <w:jc w:val="both"/>
        <w:rPr>
          <w:rFonts w:ascii="Calibri" w:hAnsi="Calibri"/>
          <w:sz w:val="22"/>
          <w:szCs w:val="22"/>
        </w:rPr>
      </w:pPr>
      <w:r w:rsidRPr="0037328B">
        <w:rPr>
          <w:rFonts w:asciiTheme="minorHAnsi" w:hAnsiTheme="minorHAnsi" w:cstheme="minorHAnsi"/>
          <w:sz w:val="22"/>
          <w:szCs w:val="22"/>
        </w:rPr>
        <w:t>In 2013/14</w:t>
      </w:r>
      <w:r w:rsidR="00775C63">
        <w:rPr>
          <w:rFonts w:asciiTheme="minorHAnsi" w:hAnsiTheme="minorHAnsi" w:cstheme="minorHAnsi"/>
          <w:sz w:val="22"/>
          <w:szCs w:val="22"/>
        </w:rPr>
        <w:t>,</w:t>
      </w:r>
      <w:r w:rsidRPr="0037328B">
        <w:rPr>
          <w:rFonts w:asciiTheme="minorHAnsi" w:hAnsiTheme="minorHAnsi" w:cstheme="minorHAnsi"/>
          <w:sz w:val="22"/>
          <w:szCs w:val="22"/>
        </w:rPr>
        <w:t xml:space="preserve"> £460,154.10 was received through legal agreements as financial contributions towards affordable housing. </w:t>
      </w:r>
    </w:p>
    <w:p w:rsidR="0037328B" w:rsidRDefault="0037328B" w:rsidP="0037328B">
      <w:pPr>
        <w:pStyle w:val="ListParagraph"/>
        <w:rPr>
          <w:rFonts w:ascii="Calibri" w:hAnsi="Calibri"/>
          <w:sz w:val="22"/>
          <w:szCs w:val="22"/>
        </w:rPr>
      </w:pPr>
    </w:p>
    <w:p w:rsidR="0037328B" w:rsidRDefault="0037328B" w:rsidP="0037328B">
      <w:pPr>
        <w:pStyle w:val="ListParagraph"/>
        <w:rPr>
          <w:rFonts w:ascii="Calibri" w:hAnsi="Calibri"/>
          <w:sz w:val="22"/>
          <w:szCs w:val="22"/>
        </w:rPr>
      </w:pPr>
    </w:p>
    <w:p w:rsidR="0037328B" w:rsidRDefault="0037328B" w:rsidP="0037328B">
      <w:pPr>
        <w:pStyle w:val="ListParagraph"/>
        <w:rPr>
          <w:rFonts w:ascii="Calibri" w:hAnsi="Calibri"/>
          <w:sz w:val="22"/>
          <w:szCs w:val="22"/>
        </w:rPr>
      </w:pPr>
    </w:p>
    <w:p w:rsidR="0037328B" w:rsidRDefault="0037328B"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213F1E" w:rsidRDefault="00213F1E" w:rsidP="0037328B">
      <w:pPr>
        <w:pStyle w:val="ListParagraph"/>
        <w:rPr>
          <w:rFonts w:ascii="Calibri" w:hAnsi="Calibri"/>
          <w:sz w:val="22"/>
          <w:szCs w:val="22"/>
        </w:rPr>
      </w:pPr>
    </w:p>
    <w:p w:rsidR="0037328B" w:rsidRPr="0037328B" w:rsidRDefault="0037328B" w:rsidP="0037328B">
      <w:pPr>
        <w:pStyle w:val="Header"/>
        <w:tabs>
          <w:tab w:val="clear" w:pos="4513"/>
          <w:tab w:val="clear" w:pos="9026"/>
        </w:tabs>
        <w:ind w:left="360"/>
        <w:jc w:val="both"/>
        <w:rPr>
          <w:rFonts w:ascii="Calibri" w:hAnsi="Calibri"/>
          <w:sz w:val="22"/>
          <w:szCs w:val="22"/>
        </w:rPr>
      </w:pPr>
    </w:p>
    <w:p w:rsidR="00E2063F" w:rsidRDefault="00E2063F" w:rsidP="00F1483B">
      <w:pPr>
        <w:rPr>
          <w:rFonts w:asciiTheme="minorHAnsi" w:hAnsiTheme="minorHAnsi" w:cstheme="minorHAnsi"/>
          <w:sz w:val="22"/>
          <w:szCs w:val="22"/>
        </w:rPr>
      </w:pPr>
    </w:p>
    <w:p w:rsidR="00F1483B" w:rsidRDefault="00A05F0F" w:rsidP="00F1483B">
      <w:pPr>
        <w:rPr>
          <w:rFonts w:asciiTheme="minorHAnsi" w:hAnsiTheme="minorHAnsi" w:cstheme="minorHAnsi"/>
          <w:b/>
          <w:color w:val="403152" w:themeColor="accent4" w:themeShade="80"/>
          <w:sz w:val="28"/>
          <w:szCs w:val="22"/>
        </w:rPr>
      </w:pPr>
      <w:r w:rsidRPr="00E01873">
        <w:rPr>
          <w:rFonts w:ascii="Calibri" w:eastAsia="Calibri" w:hAnsi="Calibri" w:cs="Calibri"/>
          <w:b/>
          <w:noProof/>
          <w:color w:val="000000"/>
          <w:sz w:val="32"/>
          <w:szCs w:val="32"/>
          <w:lang w:eastAsia="en-GB"/>
        </w:rPr>
        <w:lastRenderedPageBreak/>
        <mc:AlternateContent>
          <mc:Choice Requires="wps">
            <w:drawing>
              <wp:anchor distT="0" distB="0" distL="114300" distR="114300" simplePos="0" relativeHeight="251793408" behindDoc="0" locked="0" layoutInCell="1" allowOverlap="1" wp14:anchorId="7EAC9D22" wp14:editId="3F1519FD">
                <wp:simplePos x="0" y="0"/>
                <wp:positionH relativeFrom="column">
                  <wp:posOffset>3886200</wp:posOffset>
                </wp:positionH>
                <wp:positionV relativeFrom="paragraph">
                  <wp:posOffset>-600710</wp:posOffset>
                </wp:positionV>
                <wp:extent cx="2122805" cy="35242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2122805" cy="352425"/>
                        </a:xfrm>
                        <a:prstGeom prst="rect">
                          <a:avLst/>
                        </a:prstGeom>
                        <a:solidFill>
                          <a:sysClr val="window" lastClr="FFFFFF"/>
                        </a:solidFill>
                        <a:ln w="6350">
                          <a:noFill/>
                        </a:ln>
                        <a:effectLst/>
                      </wps:spPr>
                      <wps:txbx>
                        <w:txbxContent>
                          <w:p w:rsidR="000D3CFF" w:rsidRPr="00483A60" w:rsidRDefault="000D3CFF" w:rsidP="00E01873">
                            <w:pPr>
                              <w:jc w:val="right"/>
                              <w:rPr>
                                <w:b/>
                                <w:color w:val="7030A0"/>
                              </w:rPr>
                            </w:pPr>
                            <w:r w:rsidRPr="00483A60">
                              <w:rPr>
                                <w:b/>
                                <w:color w:val="7030A0"/>
                              </w:rPr>
                              <w:t>Efficient, Effective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 o:spid="_x0000_s1094" type="#_x0000_t202" style="position:absolute;margin-left:306pt;margin-top:-47.3pt;width:167.15pt;height:27.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" fillcolor="window" stroked="f" strokeweight=".5pt">
                <v:textbox>
                  <w:txbxContent>
                    <w:p w:rsidR="000D3CFF" w:rsidRPr="00483A60" w:rsidRDefault="000D3CFF" w:rsidP="00E01873">
                      <w:pPr>
                        <w:jc w:val="right"/>
                        <w:rPr>
                          <w:b/>
                          <w:color w:val="7030A0"/>
                        </w:rPr>
                      </w:pPr>
                      <w:r w:rsidRPr="00483A60">
                        <w:rPr>
                          <w:b/>
                          <w:color w:val="7030A0"/>
                        </w:rPr>
                        <w:t>Efficient, Effective Council</w:t>
                      </w:r>
                    </w:p>
                  </w:txbxContent>
                </v:textbox>
              </v:shape>
            </w:pict>
          </mc:Fallback>
        </mc:AlternateContent>
      </w:r>
      <w:r w:rsidR="001E78F4">
        <w:rPr>
          <w:rFonts w:asciiTheme="minorHAnsi" w:hAnsiTheme="minorHAnsi" w:cstheme="minorHAnsi"/>
          <w:b/>
          <w:color w:val="403152" w:themeColor="accent4" w:themeShade="80"/>
          <w:sz w:val="28"/>
          <w:szCs w:val="22"/>
        </w:rPr>
        <w:t>Summary</w:t>
      </w:r>
      <w:r w:rsidR="00F1483B">
        <w:rPr>
          <w:rFonts w:asciiTheme="minorHAnsi" w:hAnsiTheme="minorHAnsi" w:cstheme="minorHAnsi"/>
          <w:b/>
          <w:color w:val="403152" w:themeColor="accent4" w:themeShade="80"/>
          <w:sz w:val="28"/>
          <w:szCs w:val="22"/>
        </w:rPr>
        <w:t>: Efficient, Effective Council</w:t>
      </w:r>
    </w:p>
    <w:p w:rsidR="00F1483B" w:rsidRPr="009F4CD5" w:rsidRDefault="00F1483B" w:rsidP="00F1483B">
      <w:pPr>
        <w:rPr>
          <w:rFonts w:asciiTheme="minorHAnsi" w:hAnsiTheme="minorHAnsi" w:cstheme="minorHAnsi"/>
          <w:sz w:val="22"/>
          <w:szCs w:val="22"/>
        </w:rPr>
      </w:pPr>
    </w:p>
    <w:p w:rsidR="00F1483B" w:rsidRPr="00E63AD1" w:rsidRDefault="006C7E6E" w:rsidP="004335B5">
      <w:pPr>
        <w:pStyle w:val="Header"/>
        <w:numPr>
          <w:ilvl w:val="1"/>
          <w:numId w:val="17"/>
        </w:numPr>
        <w:tabs>
          <w:tab w:val="clear" w:pos="4513"/>
          <w:tab w:val="clear" w:pos="9026"/>
        </w:tabs>
        <w:jc w:val="both"/>
        <w:rPr>
          <w:rFonts w:ascii="Calibri" w:hAnsi="Calibri"/>
          <w:sz w:val="22"/>
          <w:szCs w:val="22"/>
        </w:rPr>
      </w:pPr>
      <w:r>
        <w:rPr>
          <w:rFonts w:ascii="Calibri" w:hAnsi="Calibri"/>
          <w:sz w:val="22"/>
          <w:szCs w:val="22"/>
        </w:rPr>
        <w:t>T</w:t>
      </w:r>
      <w:r w:rsidRPr="00081201">
        <w:rPr>
          <w:rFonts w:ascii="Calibri" w:hAnsi="Calibri"/>
          <w:sz w:val="22"/>
          <w:szCs w:val="22"/>
        </w:rPr>
        <w:t>he City Council has been actively involved in a number of cross boundary and joint partnership relationships which have informed the preparation of the various elements of the Oxford Local Plan.</w:t>
      </w:r>
      <w:r>
        <w:rPr>
          <w:rFonts w:ascii="Calibri" w:hAnsi="Calibri"/>
          <w:sz w:val="22"/>
          <w:szCs w:val="22"/>
        </w:rPr>
        <w:t xml:space="preserve">  </w:t>
      </w:r>
      <w:r w:rsidR="00413634">
        <w:rPr>
          <w:rFonts w:ascii="Calibri" w:hAnsi="Calibri"/>
          <w:sz w:val="22"/>
          <w:szCs w:val="22"/>
        </w:rPr>
        <w:t xml:space="preserve">During 2013/14, a particularly relevant exercise in relation to the Duty to Cooperate was the preparation of a new Strategic Housing Market Assessment (SHMA) for the county.  </w:t>
      </w:r>
      <w:r w:rsidR="00413634" w:rsidRPr="00F85B66">
        <w:rPr>
          <w:rFonts w:ascii="Calibri" w:hAnsi="Calibri"/>
          <w:sz w:val="22"/>
          <w:szCs w:val="22"/>
        </w:rPr>
        <w:t xml:space="preserve">The </w:t>
      </w:r>
      <w:r w:rsidR="00413634">
        <w:rPr>
          <w:rFonts w:ascii="Calibri" w:hAnsi="Calibri"/>
          <w:sz w:val="22"/>
          <w:szCs w:val="22"/>
        </w:rPr>
        <w:t xml:space="preserve">SHMA was jointly commissioned by all of the Oxfordshire authorities and an officer working </w:t>
      </w:r>
      <w:r w:rsidR="00413634" w:rsidRPr="00F85B66">
        <w:rPr>
          <w:rFonts w:ascii="Calibri" w:hAnsi="Calibri"/>
          <w:sz w:val="22"/>
          <w:szCs w:val="22"/>
        </w:rPr>
        <w:t>group</w:t>
      </w:r>
      <w:r w:rsidR="00413634">
        <w:rPr>
          <w:rFonts w:ascii="Calibri" w:hAnsi="Calibri"/>
          <w:sz w:val="22"/>
          <w:szCs w:val="22"/>
        </w:rPr>
        <w:t xml:space="preserve">, including an officer from the City Council, </w:t>
      </w:r>
      <w:r w:rsidR="00413634" w:rsidRPr="00F85B66">
        <w:rPr>
          <w:rFonts w:ascii="Calibri" w:hAnsi="Calibri"/>
          <w:sz w:val="22"/>
          <w:szCs w:val="22"/>
        </w:rPr>
        <w:t>manage</w:t>
      </w:r>
      <w:r w:rsidR="00413634">
        <w:rPr>
          <w:rFonts w:ascii="Calibri" w:hAnsi="Calibri"/>
          <w:sz w:val="22"/>
          <w:szCs w:val="22"/>
        </w:rPr>
        <w:t>d</w:t>
      </w:r>
      <w:r w:rsidR="00413634" w:rsidRPr="00F85B66">
        <w:rPr>
          <w:rFonts w:ascii="Calibri" w:hAnsi="Calibri"/>
          <w:sz w:val="22"/>
          <w:szCs w:val="22"/>
        </w:rPr>
        <w:t xml:space="preserve"> the consultants </w:t>
      </w:r>
      <w:r w:rsidR="00413634">
        <w:rPr>
          <w:rFonts w:ascii="Calibri" w:hAnsi="Calibri"/>
          <w:sz w:val="22"/>
          <w:szCs w:val="22"/>
        </w:rPr>
        <w:t xml:space="preserve">during the project.  The City Council has sought to involve other Duty to Cooperate bodies during the production of the Northern Gateway Area Action Plan, and full details will be set out in a </w:t>
      </w:r>
      <w:r w:rsidR="00413634">
        <w:rPr>
          <w:rFonts w:asciiTheme="minorHAnsi" w:hAnsiTheme="minorHAnsi" w:cstheme="minorHAnsi"/>
          <w:sz w:val="22"/>
          <w:szCs w:val="22"/>
        </w:rPr>
        <w:t>in a statement that will be published alongside the submission version of the Plan in October 2014.</w:t>
      </w:r>
      <w:r w:rsidR="00413634">
        <w:rPr>
          <w:rFonts w:ascii="Calibri" w:hAnsi="Calibri"/>
          <w:sz w:val="22"/>
          <w:szCs w:val="22"/>
        </w:rPr>
        <w:t xml:space="preserve"> </w:t>
      </w:r>
      <w:r w:rsidR="009F4CD5" w:rsidRPr="00E63AD1">
        <w:rPr>
          <w:rFonts w:asciiTheme="minorHAnsi" w:hAnsiTheme="minorHAnsi" w:cstheme="minorHAnsi"/>
          <w:sz w:val="22"/>
          <w:szCs w:val="22"/>
        </w:rPr>
        <w:t xml:space="preserve"> </w:t>
      </w:r>
    </w:p>
    <w:p w:rsidR="00E63AD1" w:rsidRPr="00E63AD1" w:rsidRDefault="00E63AD1" w:rsidP="00E63AD1">
      <w:pPr>
        <w:pStyle w:val="Header"/>
        <w:tabs>
          <w:tab w:val="clear" w:pos="4513"/>
          <w:tab w:val="clear" w:pos="9026"/>
        </w:tabs>
        <w:ind w:left="360"/>
        <w:jc w:val="both"/>
        <w:rPr>
          <w:rFonts w:ascii="Calibri" w:hAnsi="Calibri"/>
          <w:sz w:val="22"/>
          <w:szCs w:val="22"/>
        </w:rPr>
      </w:pPr>
    </w:p>
    <w:p w:rsidR="00811359" w:rsidRPr="00E63AD1" w:rsidRDefault="00811359"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 xml:space="preserve">Progress has been made towards delivering some key planning policy documents during the monitoring year, specifically the CIL Charging Schedule, Affordable Housing and Planning Obligations SPD and Northern Gateway AAP. </w:t>
      </w:r>
      <w:r w:rsidRPr="00E63AD1">
        <w:rPr>
          <w:rFonts w:asciiTheme="minorHAnsi" w:hAnsiTheme="minorHAnsi"/>
          <w:sz w:val="22"/>
          <w:szCs w:val="22"/>
        </w:rPr>
        <w:t>Work has also progressed on a number of other SPDs in addition to those identified in the LDS. The current LDS is no</w:t>
      </w:r>
      <w:r w:rsidR="00197D0C" w:rsidRPr="00E63AD1">
        <w:rPr>
          <w:rFonts w:asciiTheme="minorHAnsi" w:hAnsiTheme="minorHAnsi"/>
          <w:sz w:val="22"/>
          <w:szCs w:val="22"/>
        </w:rPr>
        <w:t>w reaching the end of its life</w:t>
      </w:r>
      <w:r w:rsidRPr="00E63AD1">
        <w:rPr>
          <w:rFonts w:asciiTheme="minorHAnsi" w:hAnsiTheme="minorHAnsi"/>
          <w:sz w:val="22"/>
          <w:szCs w:val="22"/>
        </w:rPr>
        <w:t xml:space="preserve"> and a new LDS </w:t>
      </w:r>
      <w:r w:rsidR="00197D0C" w:rsidRPr="00E63AD1">
        <w:rPr>
          <w:rFonts w:asciiTheme="minorHAnsi" w:hAnsiTheme="minorHAnsi"/>
          <w:sz w:val="22"/>
          <w:szCs w:val="22"/>
        </w:rPr>
        <w:t>is due to</w:t>
      </w:r>
      <w:r w:rsidRPr="00E63AD1">
        <w:rPr>
          <w:rFonts w:asciiTheme="minorHAnsi" w:hAnsiTheme="minorHAnsi"/>
          <w:sz w:val="22"/>
          <w:szCs w:val="22"/>
        </w:rPr>
        <w:t xml:space="preserve"> be adopted before the next monitoring report.</w:t>
      </w:r>
    </w:p>
    <w:p w:rsidR="00E63AD1" w:rsidRDefault="00E63AD1" w:rsidP="00E63AD1">
      <w:pPr>
        <w:pStyle w:val="ListParagraph"/>
        <w:rPr>
          <w:rFonts w:ascii="Calibri" w:hAnsi="Calibri"/>
          <w:sz w:val="22"/>
          <w:szCs w:val="22"/>
        </w:rPr>
      </w:pPr>
    </w:p>
    <w:p w:rsidR="00811359" w:rsidRPr="00E63AD1" w:rsidRDefault="00811359"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This is the first time that appeal decision monitoring has been included in the</w:t>
      </w:r>
      <w:r w:rsidR="00775C63">
        <w:rPr>
          <w:rFonts w:asciiTheme="minorHAnsi" w:hAnsiTheme="minorHAnsi" w:cstheme="minorHAnsi"/>
          <w:sz w:val="22"/>
          <w:szCs w:val="22"/>
        </w:rPr>
        <w:t xml:space="preserve"> Annual</w:t>
      </w:r>
      <w:r w:rsidRPr="00E63AD1">
        <w:rPr>
          <w:rFonts w:asciiTheme="minorHAnsi" w:hAnsiTheme="minorHAnsi" w:cstheme="minorHAnsi"/>
          <w:sz w:val="22"/>
          <w:szCs w:val="22"/>
        </w:rPr>
        <w:t xml:space="preserve"> Monitori</w:t>
      </w:r>
      <w:r w:rsidR="00197D0C" w:rsidRPr="00E63AD1">
        <w:rPr>
          <w:rFonts w:asciiTheme="minorHAnsi" w:hAnsiTheme="minorHAnsi" w:cstheme="minorHAnsi"/>
          <w:sz w:val="22"/>
          <w:szCs w:val="22"/>
        </w:rPr>
        <w:t>ng Report. I</w:t>
      </w:r>
      <w:r w:rsidR="00E3384F" w:rsidRPr="00E63AD1">
        <w:rPr>
          <w:rFonts w:asciiTheme="minorHAnsi" w:hAnsiTheme="minorHAnsi" w:cstheme="minorHAnsi"/>
          <w:sz w:val="22"/>
          <w:szCs w:val="22"/>
        </w:rPr>
        <w:t xml:space="preserve">t </w:t>
      </w:r>
      <w:r w:rsidR="00197D0C" w:rsidRPr="00E63AD1">
        <w:rPr>
          <w:rFonts w:asciiTheme="minorHAnsi" w:hAnsiTheme="minorHAnsi" w:cstheme="minorHAnsi"/>
          <w:sz w:val="22"/>
          <w:szCs w:val="22"/>
        </w:rPr>
        <w:t xml:space="preserve">provides </w:t>
      </w:r>
      <w:r w:rsidR="00E3384F" w:rsidRPr="00E63AD1">
        <w:rPr>
          <w:rFonts w:asciiTheme="minorHAnsi" w:hAnsiTheme="minorHAnsi" w:cstheme="minorHAnsi"/>
          <w:sz w:val="22"/>
          <w:szCs w:val="22"/>
        </w:rPr>
        <w:t>useful insight into how</w:t>
      </w:r>
      <w:r w:rsidRPr="00E63AD1">
        <w:rPr>
          <w:rFonts w:asciiTheme="minorHAnsi" w:hAnsiTheme="minorHAnsi" w:cstheme="minorHAnsi"/>
          <w:sz w:val="22"/>
          <w:szCs w:val="22"/>
        </w:rPr>
        <w:t xml:space="preserve"> Oxford’s Local Development Plan</w:t>
      </w:r>
      <w:r w:rsidR="00E3384F" w:rsidRPr="00E63AD1">
        <w:rPr>
          <w:rFonts w:asciiTheme="minorHAnsi" w:hAnsiTheme="minorHAnsi" w:cstheme="minorHAnsi"/>
          <w:sz w:val="22"/>
          <w:szCs w:val="22"/>
        </w:rPr>
        <w:t xml:space="preserve"> Policies</w:t>
      </w:r>
      <w:r w:rsidRPr="00E63AD1">
        <w:rPr>
          <w:rFonts w:asciiTheme="minorHAnsi" w:hAnsiTheme="minorHAnsi" w:cstheme="minorHAnsi"/>
          <w:sz w:val="22"/>
          <w:szCs w:val="22"/>
        </w:rPr>
        <w:t xml:space="preserve"> are interpreted and applied by Inspectors</w:t>
      </w:r>
      <w:r w:rsidR="00E3384F" w:rsidRPr="00E63AD1">
        <w:rPr>
          <w:rFonts w:asciiTheme="minorHAnsi" w:hAnsiTheme="minorHAnsi" w:cstheme="minorHAnsi"/>
          <w:sz w:val="22"/>
          <w:szCs w:val="22"/>
        </w:rPr>
        <w:t xml:space="preserve">. Monitoring has shown that, in the majority of cases, Inspectors consider Oxford’s policies to be up-to-date and consistent with the objectives of the NPPF and PPG. </w:t>
      </w:r>
      <w:r w:rsidR="00AB2E35" w:rsidRPr="00E63AD1">
        <w:rPr>
          <w:rFonts w:asciiTheme="minorHAnsi" w:hAnsiTheme="minorHAnsi" w:cstheme="minorHAnsi"/>
          <w:sz w:val="22"/>
          <w:szCs w:val="22"/>
        </w:rPr>
        <w:t>We have begun to see p</w:t>
      </w:r>
      <w:r w:rsidR="00E3384F" w:rsidRPr="00E63AD1">
        <w:rPr>
          <w:rFonts w:asciiTheme="minorHAnsi" w:hAnsiTheme="minorHAnsi" w:cstheme="minorHAnsi"/>
          <w:sz w:val="22"/>
          <w:szCs w:val="22"/>
        </w:rPr>
        <w:t xml:space="preserve">olicies from </w:t>
      </w:r>
      <w:r w:rsidR="00AB2E35" w:rsidRPr="00E63AD1">
        <w:rPr>
          <w:rFonts w:asciiTheme="minorHAnsi" w:hAnsiTheme="minorHAnsi" w:cstheme="minorHAnsi"/>
          <w:sz w:val="22"/>
          <w:szCs w:val="22"/>
        </w:rPr>
        <w:t>the Sites and Housing Plan</w:t>
      </w:r>
      <w:r w:rsidR="00E3384F" w:rsidRPr="00E63AD1">
        <w:rPr>
          <w:rFonts w:asciiTheme="minorHAnsi" w:hAnsiTheme="minorHAnsi" w:cstheme="minorHAnsi"/>
          <w:sz w:val="22"/>
          <w:szCs w:val="22"/>
        </w:rPr>
        <w:t xml:space="preserve"> be</w:t>
      </w:r>
      <w:r w:rsidR="00AB2E35" w:rsidRPr="00E63AD1">
        <w:rPr>
          <w:rFonts w:asciiTheme="minorHAnsi" w:hAnsiTheme="minorHAnsi" w:cstheme="minorHAnsi"/>
          <w:sz w:val="22"/>
          <w:szCs w:val="22"/>
        </w:rPr>
        <w:t>ing</w:t>
      </w:r>
      <w:r w:rsidR="00E3384F" w:rsidRPr="00E63AD1">
        <w:rPr>
          <w:rFonts w:asciiTheme="minorHAnsi" w:hAnsiTheme="minorHAnsi" w:cstheme="minorHAnsi"/>
          <w:sz w:val="22"/>
          <w:szCs w:val="22"/>
        </w:rPr>
        <w:t xml:space="preserve"> tested at appeal, as well as identifying a small number of areas where policies may require updating in the future to more fully reflect the approach set out in </w:t>
      </w:r>
      <w:r w:rsidR="00775C63">
        <w:rPr>
          <w:rFonts w:asciiTheme="minorHAnsi" w:hAnsiTheme="minorHAnsi" w:cstheme="minorHAnsi"/>
          <w:sz w:val="22"/>
          <w:szCs w:val="22"/>
        </w:rPr>
        <w:t>national policy.</w:t>
      </w:r>
    </w:p>
    <w:p w:rsidR="00E63AD1" w:rsidRDefault="00E63AD1" w:rsidP="00E63AD1">
      <w:pPr>
        <w:pStyle w:val="ListParagraph"/>
        <w:rPr>
          <w:rFonts w:ascii="Calibri" w:hAnsi="Calibri"/>
          <w:sz w:val="22"/>
          <w:szCs w:val="22"/>
        </w:rPr>
      </w:pPr>
    </w:p>
    <w:p w:rsidR="009F4CD5" w:rsidRPr="00E63AD1" w:rsidRDefault="00E3384F" w:rsidP="004335B5">
      <w:pPr>
        <w:pStyle w:val="Header"/>
        <w:numPr>
          <w:ilvl w:val="1"/>
          <w:numId w:val="17"/>
        </w:numPr>
        <w:tabs>
          <w:tab w:val="clear" w:pos="4513"/>
          <w:tab w:val="clear" w:pos="9026"/>
        </w:tabs>
        <w:jc w:val="both"/>
        <w:rPr>
          <w:rFonts w:ascii="Calibri" w:hAnsi="Calibri"/>
          <w:sz w:val="22"/>
          <w:szCs w:val="22"/>
        </w:rPr>
      </w:pPr>
      <w:r w:rsidRPr="00E63AD1">
        <w:rPr>
          <w:rFonts w:asciiTheme="minorHAnsi" w:hAnsiTheme="minorHAnsi" w:cstheme="minorHAnsi"/>
          <w:sz w:val="22"/>
          <w:szCs w:val="22"/>
        </w:rPr>
        <w:t>A number of consultations were undertaken on a range of documents in accordance with the approach set out in the SCI.</w:t>
      </w:r>
      <w:r w:rsidR="0075073C" w:rsidRPr="00E63AD1">
        <w:rPr>
          <w:rFonts w:asciiTheme="minorHAnsi" w:hAnsiTheme="minorHAnsi" w:cstheme="minorHAnsi"/>
          <w:sz w:val="22"/>
          <w:szCs w:val="22"/>
        </w:rPr>
        <w:t xml:space="preserve"> </w:t>
      </w:r>
      <w:r w:rsidRPr="00E63AD1">
        <w:rPr>
          <w:rFonts w:asciiTheme="minorHAnsi" w:hAnsiTheme="minorHAnsi" w:cstheme="minorHAnsi"/>
          <w:sz w:val="22"/>
          <w:szCs w:val="22"/>
        </w:rPr>
        <w:t>The current SCI is due to be reviewed during the 2014/15 monitoring period and this may change the way that members of the public and oth</w:t>
      </w:r>
      <w:r w:rsidR="00AB2E35" w:rsidRPr="00E63AD1">
        <w:rPr>
          <w:rFonts w:asciiTheme="minorHAnsi" w:hAnsiTheme="minorHAnsi" w:cstheme="minorHAnsi"/>
          <w:sz w:val="22"/>
          <w:szCs w:val="22"/>
        </w:rPr>
        <w:t xml:space="preserve">er stakeholders  are involved in </w:t>
      </w:r>
      <w:r w:rsidRPr="00E63AD1">
        <w:rPr>
          <w:rFonts w:asciiTheme="minorHAnsi" w:hAnsiTheme="minorHAnsi" w:cstheme="minorHAnsi"/>
          <w:sz w:val="22"/>
          <w:szCs w:val="22"/>
        </w:rPr>
        <w:t xml:space="preserve">the preparation of planning </w:t>
      </w:r>
      <w:r w:rsidR="00E2063F">
        <w:rPr>
          <w:rFonts w:asciiTheme="minorHAnsi" w:hAnsiTheme="minorHAnsi" w:cstheme="minorHAnsi"/>
          <w:sz w:val="22"/>
          <w:szCs w:val="22"/>
        </w:rPr>
        <w:t>policy documents in the future.</w:t>
      </w:r>
    </w:p>
    <w:p w:rsidR="00E63AD1" w:rsidRDefault="00E63AD1" w:rsidP="00E63AD1">
      <w:pPr>
        <w:pStyle w:val="ListParagraph"/>
        <w:rPr>
          <w:rFonts w:ascii="Calibri" w:hAnsi="Calibri"/>
          <w:sz w:val="22"/>
          <w:szCs w:val="22"/>
        </w:rPr>
      </w:pPr>
    </w:p>
    <w:p w:rsidR="009F4CD5" w:rsidRPr="00E2063F" w:rsidRDefault="00775C63" w:rsidP="004335B5">
      <w:pPr>
        <w:pStyle w:val="Header"/>
        <w:numPr>
          <w:ilvl w:val="1"/>
          <w:numId w:val="17"/>
        </w:numPr>
        <w:tabs>
          <w:tab w:val="clear" w:pos="4513"/>
          <w:tab w:val="clear" w:pos="9026"/>
        </w:tabs>
        <w:jc w:val="both"/>
        <w:rPr>
          <w:rFonts w:ascii="Calibri" w:hAnsi="Calibri"/>
          <w:sz w:val="22"/>
          <w:szCs w:val="22"/>
        </w:rPr>
      </w:pPr>
      <w:r>
        <w:rPr>
          <w:rFonts w:asciiTheme="minorHAnsi" w:hAnsiTheme="minorHAnsi" w:cstheme="minorHAnsi"/>
          <w:sz w:val="22"/>
          <w:szCs w:val="22"/>
        </w:rPr>
        <w:t>The CIL Charging S</w:t>
      </w:r>
      <w:r w:rsidR="00E2063F">
        <w:rPr>
          <w:rFonts w:asciiTheme="minorHAnsi" w:hAnsiTheme="minorHAnsi" w:cstheme="minorHAnsi"/>
          <w:sz w:val="22"/>
          <w:szCs w:val="22"/>
        </w:rPr>
        <w:t xml:space="preserve">chedule came into effect in Oxford in October 2013. </w:t>
      </w:r>
      <w:r w:rsidR="00CB46CE">
        <w:rPr>
          <w:rFonts w:asciiTheme="minorHAnsi" w:hAnsiTheme="minorHAnsi" w:cstheme="minorHAnsi"/>
          <w:sz w:val="22"/>
          <w:szCs w:val="22"/>
        </w:rPr>
        <w:t>During the monitoring year</w:t>
      </w:r>
      <w:r w:rsidR="00CB46CE" w:rsidRPr="00E63AD1">
        <w:rPr>
          <w:rFonts w:asciiTheme="minorHAnsi" w:hAnsiTheme="minorHAnsi" w:cstheme="minorHAnsi"/>
          <w:sz w:val="22"/>
          <w:szCs w:val="22"/>
        </w:rPr>
        <w:t xml:space="preserve"> £7,064 was received in CIL charges. As the charging schedule only came into effect part way through the monitoring year, it is expected that the amount collected will rise </w:t>
      </w:r>
      <w:r w:rsidR="00032827">
        <w:rPr>
          <w:rFonts w:asciiTheme="minorHAnsi" w:hAnsiTheme="minorHAnsi" w:cstheme="minorHAnsi"/>
          <w:sz w:val="22"/>
          <w:szCs w:val="22"/>
        </w:rPr>
        <w:t xml:space="preserve">significantly </w:t>
      </w:r>
      <w:r w:rsidR="00CB46CE" w:rsidRPr="00E63AD1">
        <w:rPr>
          <w:rFonts w:asciiTheme="minorHAnsi" w:hAnsiTheme="minorHAnsi" w:cstheme="minorHAnsi"/>
          <w:sz w:val="22"/>
          <w:szCs w:val="22"/>
        </w:rPr>
        <w:t>in subsequent years as works commence on more qualifying developments.</w:t>
      </w:r>
    </w:p>
    <w:p w:rsidR="00E63AD1" w:rsidRDefault="00E63AD1" w:rsidP="00E63AD1">
      <w:pPr>
        <w:pStyle w:val="ListParagraph"/>
        <w:rPr>
          <w:rFonts w:ascii="Calibri" w:hAnsi="Calibri"/>
          <w:sz w:val="22"/>
          <w:szCs w:val="22"/>
        </w:rPr>
      </w:pPr>
    </w:p>
    <w:p w:rsidR="0037328B" w:rsidRPr="0037328B" w:rsidRDefault="0037328B" w:rsidP="004335B5">
      <w:pPr>
        <w:pStyle w:val="Header"/>
        <w:numPr>
          <w:ilvl w:val="1"/>
          <w:numId w:val="17"/>
        </w:numPr>
        <w:tabs>
          <w:tab w:val="clear" w:pos="4513"/>
          <w:tab w:val="clear" w:pos="9026"/>
        </w:tabs>
        <w:spacing w:after="60"/>
        <w:jc w:val="both"/>
        <w:rPr>
          <w:rFonts w:ascii="Calibri" w:hAnsi="Calibri"/>
          <w:sz w:val="22"/>
          <w:szCs w:val="22"/>
        </w:rPr>
      </w:pPr>
      <w:r w:rsidRPr="0037328B">
        <w:rPr>
          <w:rFonts w:asciiTheme="minorHAnsi" w:hAnsiTheme="minorHAnsi" w:cstheme="minorHAnsi"/>
          <w:sz w:val="22"/>
          <w:szCs w:val="22"/>
        </w:rPr>
        <w:t xml:space="preserve">In 2013/14 £460,154.10 was received through legal agreements as financial contributions towards affordable housing. </w:t>
      </w:r>
    </w:p>
    <w:p w:rsidR="00F1483B" w:rsidRPr="009F4CD5" w:rsidRDefault="00F1483B" w:rsidP="00F1483B">
      <w:pPr>
        <w:rPr>
          <w:rFonts w:asciiTheme="minorHAnsi" w:hAnsiTheme="minorHAnsi" w:cstheme="minorHAnsi"/>
          <w:sz w:val="22"/>
          <w:szCs w:val="22"/>
        </w:rPr>
      </w:pPr>
    </w:p>
    <w:p w:rsidR="00F1483B" w:rsidRPr="009F4CD5" w:rsidRDefault="00F1483B" w:rsidP="00F1483B">
      <w:pPr>
        <w:rPr>
          <w:rFonts w:asciiTheme="minorHAnsi" w:hAnsiTheme="minorHAnsi" w:cstheme="minorHAnsi"/>
          <w:sz w:val="22"/>
          <w:szCs w:val="22"/>
        </w:rPr>
      </w:pPr>
    </w:p>
    <w:p w:rsidR="00F1483B" w:rsidRPr="009F4CD5" w:rsidRDefault="00F1483B" w:rsidP="00F1483B">
      <w:pPr>
        <w:rPr>
          <w:rFonts w:asciiTheme="minorHAnsi" w:hAnsiTheme="minorHAnsi" w:cstheme="minorHAnsi"/>
          <w:sz w:val="22"/>
          <w:szCs w:val="22"/>
        </w:rPr>
      </w:pPr>
    </w:p>
    <w:p w:rsidR="00F1483B" w:rsidRDefault="00F1483B"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01873" w:rsidRDefault="00E01873" w:rsidP="00F1483B">
      <w:pPr>
        <w:rPr>
          <w:rFonts w:asciiTheme="minorHAnsi" w:hAnsiTheme="minorHAnsi" w:cstheme="minorHAnsi"/>
          <w:sz w:val="22"/>
          <w:szCs w:val="22"/>
        </w:rPr>
      </w:pPr>
    </w:p>
    <w:p w:rsidR="00E63AD1" w:rsidRDefault="00E63AD1" w:rsidP="00F1483B">
      <w:pPr>
        <w:rPr>
          <w:rFonts w:asciiTheme="minorHAnsi" w:hAnsiTheme="minorHAnsi" w:cstheme="minorHAnsi"/>
          <w:sz w:val="22"/>
          <w:szCs w:val="22"/>
        </w:rPr>
      </w:pPr>
    </w:p>
    <w:p w:rsidR="00213F1E" w:rsidRDefault="00213F1E" w:rsidP="00F1483B">
      <w:pPr>
        <w:rPr>
          <w:rFonts w:asciiTheme="minorHAnsi" w:hAnsiTheme="minorHAnsi" w:cstheme="minorHAnsi"/>
          <w:sz w:val="22"/>
          <w:szCs w:val="22"/>
        </w:rPr>
      </w:pPr>
    </w:p>
    <w:p w:rsidR="00BD1421" w:rsidRDefault="00BD1421" w:rsidP="00F1483B">
      <w:pPr>
        <w:jc w:val="both"/>
        <w:rPr>
          <w:rFonts w:asciiTheme="minorHAnsi" w:hAnsiTheme="minorHAnsi" w:cstheme="minorHAnsi"/>
          <w:sz w:val="22"/>
          <w:szCs w:val="22"/>
        </w:rPr>
      </w:pPr>
    </w:p>
    <w:p w:rsidR="00F1483B" w:rsidRPr="00CF31F6" w:rsidRDefault="00483A60" w:rsidP="00F1483B">
      <w:pPr>
        <w:jc w:val="both"/>
        <w:rPr>
          <w:b/>
          <w:color w:val="215868" w:themeColor="accent5" w:themeShade="80"/>
        </w:rPr>
      </w:pPr>
      <w:r w:rsidRPr="00CF31F6">
        <w:rPr>
          <w:rFonts w:ascii="Calibri" w:eastAsia="Calibri" w:hAnsi="Calibri" w:cs="Calibri"/>
          <w:b/>
          <w:noProof/>
          <w:color w:val="215868" w:themeColor="accent5" w:themeShade="80"/>
          <w:sz w:val="32"/>
          <w:szCs w:val="32"/>
          <w:lang w:eastAsia="en-GB"/>
        </w:rPr>
        <w:lastRenderedPageBreak/>
        <mc:AlternateContent>
          <mc:Choice Requires="wps">
            <w:drawing>
              <wp:anchor distT="0" distB="0" distL="114300" distR="114300" simplePos="0" relativeHeight="251770880" behindDoc="0" locked="0" layoutInCell="1" allowOverlap="1" wp14:anchorId="6D584898" wp14:editId="6EE5DDE3">
                <wp:simplePos x="0" y="0"/>
                <wp:positionH relativeFrom="column">
                  <wp:posOffset>4872355</wp:posOffset>
                </wp:positionH>
                <wp:positionV relativeFrom="paragraph">
                  <wp:posOffset>-640080</wp:posOffset>
                </wp:positionV>
                <wp:extent cx="1212759" cy="352425"/>
                <wp:effectExtent l="0" t="0" r="6985" b="9525"/>
                <wp:wrapNone/>
                <wp:docPr id="53" name="Text Box 53"/>
                <wp:cNvGraphicFramePr/>
                <a:graphic xmlns:a="http://schemas.openxmlformats.org/drawingml/2006/main">
                  <a:graphicData uri="http://schemas.microsoft.com/office/word/2010/wordprocessingShape">
                    <wps:wsp>
                      <wps:cNvSpPr txBox="1"/>
                      <wps:spPr>
                        <a:xfrm>
                          <a:off x="0" y="0"/>
                          <a:ext cx="1212759" cy="352425"/>
                        </a:xfrm>
                        <a:prstGeom prst="rect">
                          <a:avLst/>
                        </a:prstGeom>
                        <a:solidFill>
                          <a:sysClr val="window" lastClr="FFFFFF"/>
                        </a:solidFill>
                        <a:ln w="6350">
                          <a:noFill/>
                        </a:ln>
                        <a:effectLst/>
                      </wps:spPr>
                      <wps:txbx>
                        <w:txbxContent>
                          <w:p w:rsidR="000D3CFF" w:rsidRPr="00483A60" w:rsidRDefault="000D3CFF" w:rsidP="00483A60">
                            <w:pPr>
                              <w:jc w:val="right"/>
                              <w:rPr>
                                <w:b/>
                                <w:color w:val="31849B" w:themeColor="accent5" w:themeShade="BF"/>
                              </w:rPr>
                            </w:pPr>
                            <w:r w:rsidRPr="00483A60">
                              <w:rPr>
                                <w:b/>
                                <w:color w:val="31849B" w:themeColor="accent5" w:themeShade="BF"/>
                              </w:rPr>
                              <w:t>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95" type="#_x0000_t202" style="position:absolute;left:0;text-align:left;margin-left:383.65pt;margin-top:-50.4pt;width:95.5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" fillcolor="window" stroked="f" strokeweight=".5pt">
                <v:textbox>
                  <w:txbxContent>
                    <w:p w:rsidR="000D3CFF" w:rsidRPr="00483A60" w:rsidRDefault="000D3CFF" w:rsidP="00483A60">
                      <w:pPr>
                        <w:jc w:val="right"/>
                        <w:rPr>
                          <w:b/>
                          <w:color w:val="31849B" w:themeColor="accent5" w:themeShade="BF"/>
                        </w:rPr>
                      </w:pPr>
                      <w:r w:rsidRPr="00483A60">
                        <w:rPr>
                          <w:b/>
                          <w:color w:val="31849B" w:themeColor="accent5" w:themeShade="BF"/>
                        </w:rPr>
                        <w:t>Glossary</w:t>
                      </w:r>
                    </w:p>
                  </w:txbxContent>
                </v:textbox>
              </v:shape>
            </w:pict>
          </mc:Fallback>
        </mc:AlternateContent>
      </w:r>
      <w:r w:rsidR="00F1483B" w:rsidRPr="00CF31F6">
        <w:rPr>
          <w:b/>
          <w:color w:val="215868" w:themeColor="accent5" w:themeShade="80"/>
        </w:rPr>
        <w:t>Glossary</w:t>
      </w:r>
    </w:p>
    <w:p w:rsidR="00CF31F6" w:rsidRDefault="00CF31F6" w:rsidP="00F1483B">
      <w:pPr>
        <w:jc w:val="both"/>
        <w:rPr>
          <w:b/>
        </w:rPr>
      </w:pPr>
    </w:p>
    <w:tbl>
      <w:tblPr>
        <w:tblW w:w="9540" w:type="dxa"/>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000" w:firstRow="0" w:lastRow="0" w:firstColumn="0" w:lastColumn="0" w:noHBand="0" w:noVBand="0"/>
      </w:tblPr>
      <w:tblGrid>
        <w:gridCol w:w="2333"/>
        <w:gridCol w:w="7207"/>
      </w:tblGrid>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Affordable housing</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 xml:space="preserve">Homes </w:t>
            </w:r>
            <w:proofErr w:type="gramStart"/>
            <w:r w:rsidRPr="00CD5D2D">
              <w:rPr>
                <w:rFonts w:ascii="Calibri" w:hAnsi="Calibri"/>
                <w:sz w:val="22"/>
                <w:szCs w:val="22"/>
              </w:rPr>
              <w:t>that are</w:t>
            </w:r>
            <w:proofErr w:type="gramEnd"/>
            <w:r w:rsidRPr="00CD5D2D">
              <w:rPr>
                <w:rFonts w:ascii="Calibri" w:hAnsi="Calibri"/>
                <w:sz w:val="22"/>
                <w:szCs w:val="22"/>
              </w:rPr>
              <w:t xml:space="preserve"> available at a rent or price that can be afforded by people who are in housing need. It includes social rented housing, interme</w:t>
            </w:r>
            <w:r w:rsidR="00775C63">
              <w:rPr>
                <w:rFonts w:ascii="Calibri" w:hAnsi="Calibri"/>
                <w:sz w:val="22"/>
                <w:szCs w:val="22"/>
              </w:rPr>
              <w:t>diate affordable housing</w:t>
            </w:r>
            <w:r w:rsidRPr="00CD5D2D">
              <w:rPr>
                <w:rFonts w:ascii="Calibri" w:hAnsi="Calibri"/>
                <w:sz w:val="22"/>
                <w:szCs w:val="22"/>
              </w:rPr>
              <w:t xml:space="preserve"> and shared ownership housing.</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Biodiversity</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The diversity of plant and animal life, usually measured by the number of species present</w:t>
            </w:r>
            <w:r w:rsidR="00775C63">
              <w:rPr>
                <w:rFonts w:ascii="Calibri" w:hAnsi="Calibri"/>
                <w:sz w:val="22"/>
                <w:szCs w:val="22"/>
              </w:rPr>
              <w:t>.</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Building for Life</w:t>
            </w:r>
          </w:p>
        </w:tc>
        <w:tc>
          <w:tcPr>
            <w:tcW w:w="7207" w:type="dxa"/>
            <w:shd w:val="clear" w:color="auto" w:fill="CCFFFF"/>
            <w:tcMar>
              <w:top w:w="85" w:type="dxa"/>
              <w:bottom w:w="0" w:type="dxa"/>
            </w:tcMar>
          </w:tcPr>
          <w:p w:rsidR="00F1483B" w:rsidRPr="00EF5035" w:rsidRDefault="00F1483B" w:rsidP="00080674">
            <w:pPr>
              <w:autoSpaceDE w:val="0"/>
              <w:autoSpaceDN w:val="0"/>
              <w:adjustRightInd w:val="0"/>
              <w:rPr>
                <w:rFonts w:asciiTheme="minorHAnsi" w:hAnsiTheme="minorHAnsi" w:cstheme="minorHAnsi"/>
                <w:sz w:val="22"/>
                <w:szCs w:val="22"/>
                <w:lang w:eastAsia="en-GB"/>
              </w:rPr>
            </w:pPr>
            <w:r w:rsidRPr="00EF5035">
              <w:rPr>
                <w:rFonts w:asciiTheme="minorHAnsi" w:hAnsiTheme="minorHAnsi" w:cstheme="minorHAnsi"/>
                <w:sz w:val="22"/>
                <w:szCs w:val="22"/>
                <w:lang w:eastAsia="en-GB"/>
              </w:rPr>
              <w:t>Building for Life is the national standard for well-designed homes and neighbourhoods.  Assessments are scored against 12 Building for Life questions, covering: ‘Integrating into the Neighbourhood’; ‘Creating a Place’; ‘Street and Home’.</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color w:val="FFFFFF"/>
                <w:sz w:val="22"/>
                <w:szCs w:val="22"/>
              </w:rPr>
            </w:pPr>
            <w:r w:rsidRPr="00CD5D2D">
              <w:rPr>
                <w:rFonts w:ascii="Calibri" w:hAnsi="Calibri"/>
                <w:b/>
                <w:bCs/>
                <w:color w:val="FFFFFF"/>
                <w:sz w:val="22"/>
                <w:szCs w:val="22"/>
              </w:rPr>
              <w:t>Core Strategy</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A Development Plan Document that sets out the long-term spatial vision for the local planning authority’s area, with objectives and policies to deliver that vision</w:t>
            </w:r>
            <w:r w:rsidR="00775C63">
              <w:rPr>
                <w:rFonts w:ascii="Calibri" w:hAnsi="Calibri"/>
                <w:sz w:val="22"/>
                <w:szCs w:val="22"/>
              </w:rPr>
              <w:t>.</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color w:val="FFFFFF"/>
                <w:sz w:val="22"/>
                <w:szCs w:val="22"/>
              </w:rPr>
            </w:pPr>
            <w:r w:rsidRPr="00CD5D2D">
              <w:rPr>
                <w:rFonts w:ascii="Calibri" w:hAnsi="Calibri"/>
                <w:b/>
                <w:bCs/>
                <w:color w:val="FFFFFF"/>
                <w:sz w:val="22"/>
                <w:szCs w:val="22"/>
              </w:rPr>
              <w:t>Development Plan</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1E7C4C">
              <w:rPr>
                <w:rFonts w:ascii="Calibri" w:hAnsi="Calibri"/>
                <w:sz w:val="22"/>
                <w:szCs w:val="22"/>
                <w:lang w:val="en-US"/>
              </w:rPr>
              <w:t>An authority’s de</w:t>
            </w:r>
            <w:r w:rsidR="0069418B">
              <w:rPr>
                <w:rFonts w:ascii="Calibri" w:hAnsi="Calibri"/>
                <w:sz w:val="22"/>
                <w:szCs w:val="22"/>
                <w:lang w:val="en-US"/>
              </w:rPr>
              <w:t>velopment plan consists of the development plan d</w:t>
            </w:r>
            <w:r w:rsidRPr="001E7C4C">
              <w:rPr>
                <w:rFonts w:ascii="Calibri" w:hAnsi="Calibri"/>
                <w:sz w:val="22"/>
                <w:szCs w:val="22"/>
                <w:lang w:val="en-US"/>
              </w:rPr>
              <w:t>ocuments contained within its Local Development Framework</w:t>
            </w:r>
            <w:r>
              <w:rPr>
                <w:rFonts w:ascii="Calibri" w:hAnsi="Calibri"/>
                <w:sz w:val="22"/>
                <w:szCs w:val="22"/>
                <w:lang w:val="en-US"/>
              </w:rPr>
              <w:t xml:space="preserve"> and any </w:t>
            </w:r>
            <w:proofErr w:type="spellStart"/>
            <w:r>
              <w:rPr>
                <w:rFonts w:ascii="Calibri" w:hAnsi="Calibri"/>
                <w:sz w:val="22"/>
                <w:szCs w:val="22"/>
                <w:lang w:val="en-US"/>
              </w:rPr>
              <w:t>Neighbourhood</w:t>
            </w:r>
            <w:proofErr w:type="spellEnd"/>
            <w:r>
              <w:rPr>
                <w:rFonts w:ascii="Calibri" w:hAnsi="Calibri"/>
                <w:sz w:val="22"/>
                <w:szCs w:val="22"/>
                <w:lang w:val="en-US"/>
              </w:rPr>
              <w:t xml:space="preserve"> Plans that are adopted. </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1E7C4C">
              <w:rPr>
                <w:rFonts w:ascii="Calibri" w:hAnsi="Calibri"/>
                <w:b/>
                <w:bCs/>
                <w:color w:val="FFFFFF"/>
                <w:sz w:val="22"/>
                <w:szCs w:val="22"/>
                <w:lang w:val="en-US"/>
              </w:rPr>
              <w:t>Development Plan Document (DPD)</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Pr>
                <w:rFonts w:ascii="Calibri" w:hAnsi="Calibri"/>
                <w:sz w:val="22"/>
                <w:szCs w:val="22"/>
                <w:lang w:val="en-US"/>
              </w:rPr>
              <w:t>P</w:t>
            </w:r>
            <w:r w:rsidRPr="001E7C4C">
              <w:rPr>
                <w:rFonts w:ascii="Calibri" w:hAnsi="Calibri"/>
                <w:sz w:val="22"/>
                <w:szCs w:val="22"/>
                <w:lang w:val="en-US"/>
              </w:rPr>
              <w:t xml:space="preserve">lanning </w:t>
            </w:r>
            <w:r>
              <w:rPr>
                <w:rFonts w:ascii="Calibri" w:hAnsi="Calibri"/>
                <w:sz w:val="22"/>
                <w:szCs w:val="22"/>
                <w:lang w:val="en-US"/>
              </w:rPr>
              <w:t xml:space="preserve">policy </w:t>
            </w:r>
            <w:r w:rsidRPr="001E7C4C">
              <w:rPr>
                <w:rFonts w:ascii="Calibri" w:hAnsi="Calibri"/>
                <w:sz w:val="22"/>
                <w:szCs w:val="22"/>
                <w:lang w:val="en-US"/>
              </w:rPr>
              <w:t xml:space="preserve">documents that form part of the Local Development Framework. They are subject to independent examination and, together with </w:t>
            </w:r>
            <w:r>
              <w:rPr>
                <w:rFonts w:ascii="Calibri" w:hAnsi="Calibri"/>
                <w:sz w:val="22"/>
                <w:szCs w:val="22"/>
                <w:lang w:val="en-US"/>
              </w:rPr>
              <w:t xml:space="preserve">any </w:t>
            </w:r>
            <w:proofErr w:type="spellStart"/>
            <w:r>
              <w:rPr>
                <w:rFonts w:ascii="Calibri" w:hAnsi="Calibri"/>
                <w:sz w:val="22"/>
                <w:szCs w:val="22"/>
                <w:lang w:val="en-US"/>
              </w:rPr>
              <w:t>Neighbourhood</w:t>
            </w:r>
            <w:proofErr w:type="spellEnd"/>
            <w:r>
              <w:rPr>
                <w:rFonts w:ascii="Calibri" w:hAnsi="Calibri"/>
                <w:sz w:val="22"/>
                <w:szCs w:val="22"/>
                <w:lang w:val="en-US"/>
              </w:rPr>
              <w:t xml:space="preserve"> Plans and saved Local Plan policies, form</w:t>
            </w:r>
            <w:r w:rsidRPr="001E7C4C">
              <w:rPr>
                <w:rFonts w:ascii="Calibri" w:hAnsi="Calibri"/>
                <w:sz w:val="22"/>
                <w:szCs w:val="22"/>
                <w:lang w:val="en-US"/>
              </w:rPr>
              <w:t xml:space="preserve"> the Development Plan for the local authority area</w:t>
            </w:r>
            <w:r w:rsidR="00775C63">
              <w:rPr>
                <w:rFonts w:ascii="Calibri" w:hAnsi="Calibri"/>
                <w:sz w:val="22"/>
                <w:szCs w:val="22"/>
                <w:lang w:val="en-US"/>
              </w:rPr>
              <w:t>.</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Environment Agency</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highlight w:val="yellow"/>
              </w:rPr>
            </w:pPr>
            <w:r w:rsidRPr="00CD5D2D">
              <w:rPr>
                <w:rFonts w:ascii="Calibri" w:hAnsi="Calibri"/>
                <w:sz w:val="22"/>
                <w:szCs w:val="22"/>
              </w:rPr>
              <w:t>Government body responsible for a wide range of environmental regulations and advice, including flood risk and natural waterways</w:t>
            </w:r>
            <w:r w:rsidR="00775C63">
              <w:rPr>
                <w:rFonts w:ascii="Calibri" w:hAnsi="Calibri"/>
                <w:sz w:val="22"/>
                <w:szCs w:val="22"/>
              </w:rPr>
              <w:t>.</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Flood Zone</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highlight w:val="yellow"/>
              </w:rPr>
            </w:pPr>
            <w:r w:rsidRPr="00CD5D2D">
              <w:rPr>
                <w:rFonts w:ascii="Calibri" w:hAnsi="Calibri"/>
                <w:sz w:val="22"/>
                <w:szCs w:val="22"/>
              </w:rPr>
              <w:t>Flood Zones 1, 2, 3a and 3b are defined in the companion guide to the NPPF. These categories define the likelihood of flooding occurring in that zone (with Flood Zone 1 having the lowest risk and Flood Zone 3 the highest risk).</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Green Belt</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highlight w:val="yellow"/>
              </w:rPr>
            </w:pPr>
            <w:r w:rsidRPr="00CD5D2D">
              <w:rPr>
                <w:rFonts w:ascii="Calibri" w:hAnsi="Calibri"/>
                <w:sz w:val="22"/>
                <w:szCs w:val="22"/>
              </w:rPr>
              <w:t xml:space="preserve">An area of undeveloped land, where the planning policy is to keep it open to (amongst other purposes) prevent urban sprawl and preserve the setting and special character of Oxford and its landscape setting. </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Green Flag Status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highlight w:val="yellow"/>
              </w:rPr>
            </w:pPr>
            <w:r w:rsidRPr="00CD5D2D">
              <w:rPr>
                <w:rFonts w:ascii="Calibri" w:hAnsi="Calibri"/>
                <w:sz w:val="22"/>
                <w:szCs w:val="22"/>
              </w:rPr>
              <w:t>A national award given by Keep Britain Tidy to recognise and reward the best green spaces in the country.</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Heritage asset</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 xml:space="preserve">A building, monument, site, place, area or landscape identified as having a degree of significance meriting consideration in planning decisions.  Heritage assets are the valued components of the historic environment.  They include designated heritage assets and assets identified by Oxford City Council during the process of decision-making or through the plan making process (including local listing). </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Heritage Plan</w:t>
            </w:r>
          </w:p>
        </w:tc>
        <w:tc>
          <w:tcPr>
            <w:tcW w:w="7207" w:type="dxa"/>
            <w:shd w:val="clear" w:color="auto" w:fill="CCFFFF"/>
            <w:tcMar>
              <w:top w:w="85" w:type="dxa"/>
              <w:bottom w:w="0" w:type="dxa"/>
            </w:tcMar>
          </w:tcPr>
          <w:p w:rsidR="00F1483B" w:rsidRDefault="00F1483B" w:rsidP="00080674">
            <w:pPr>
              <w:pStyle w:val="Header"/>
              <w:rPr>
                <w:rFonts w:ascii="Calibri" w:hAnsi="Calibri"/>
                <w:sz w:val="22"/>
                <w:szCs w:val="22"/>
              </w:rPr>
            </w:pPr>
            <w:r w:rsidRPr="00CD5D2D">
              <w:rPr>
                <w:rFonts w:ascii="Calibri" w:hAnsi="Calibri"/>
                <w:sz w:val="22"/>
                <w:szCs w:val="22"/>
              </w:rPr>
              <w:t>A Plan being prepared by City Development that will eventually be used as a basis for decision-making and initiatives that will help development in Oxford to sustain and enhance the archaeological, architectural and landscape resource in a manner compatible with the city’s historic status.</w:t>
            </w:r>
          </w:p>
          <w:p w:rsidR="004F4279" w:rsidRDefault="004F4279" w:rsidP="00080674">
            <w:pPr>
              <w:pStyle w:val="Header"/>
              <w:rPr>
                <w:rFonts w:ascii="Calibri" w:hAnsi="Calibri"/>
                <w:sz w:val="22"/>
                <w:szCs w:val="22"/>
                <w:highlight w:val="yellow"/>
              </w:rPr>
            </w:pPr>
          </w:p>
          <w:p w:rsidR="00F258D7" w:rsidRPr="00CD5D2D" w:rsidRDefault="00F258D7" w:rsidP="00080674">
            <w:pPr>
              <w:pStyle w:val="Header"/>
              <w:rPr>
                <w:rFonts w:ascii="Calibri" w:hAnsi="Calibri"/>
                <w:sz w:val="22"/>
                <w:szCs w:val="22"/>
                <w:highlight w:val="yellow"/>
              </w:rPr>
            </w:pP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highlight w:val="yellow"/>
              </w:rPr>
            </w:pPr>
            <w:r w:rsidRPr="00CD5D2D">
              <w:rPr>
                <w:rFonts w:ascii="Calibri" w:hAnsi="Calibri"/>
                <w:b/>
                <w:bCs/>
                <w:color w:val="FFFFFF"/>
                <w:sz w:val="22"/>
                <w:szCs w:val="22"/>
              </w:rPr>
              <w:t>Housing trajectory</w:t>
            </w:r>
          </w:p>
        </w:tc>
        <w:tc>
          <w:tcPr>
            <w:tcW w:w="7207" w:type="dxa"/>
            <w:shd w:val="clear" w:color="auto" w:fill="CCFFFF"/>
            <w:tcMar>
              <w:top w:w="85" w:type="dxa"/>
              <w:bottom w:w="0" w:type="dxa"/>
            </w:tcMar>
          </w:tcPr>
          <w:p w:rsidR="00F1483B" w:rsidRDefault="00F1483B" w:rsidP="00080674">
            <w:pPr>
              <w:pStyle w:val="Header"/>
              <w:rPr>
                <w:rFonts w:ascii="Calibri" w:hAnsi="Calibri"/>
                <w:sz w:val="22"/>
                <w:szCs w:val="22"/>
              </w:rPr>
            </w:pPr>
            <w:r w:rsidRPr="00CD5D2D">
              <w:rPr>
                <w:rFonts w:ascii="Calibri" w:hAnsi="Calibri"/>
                <w:sz w:val="22"/>
                <w:szCs w:val="22"/>
              </w:rPr>
              <w:t>A tool that is used to estimate the number of homes likely to be built in the future, usually shown as a graph.</w:t>
            </w:r>
          </w:p>
          <w:p w:rsidR="00213F1E" w:rsidRPr="00CD5D2D" w:rsidRDefault="00213F1E" w:rsidP="00080674">
            <w:pPr>
              <w:pStyle w:val="Header"/>
              <w:rPr>
                <w:rFonts w:ascii="Calibri" w:hAnsi="Calibri"/>
                <w:sz w:val="22"/>
                <w:szCs w:val="22"/>
                <w:highlight w:val="yellow"/>
              </w:rPr>
            </w:pP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lastRenderedPageBreak/>
              <w:t>Indicators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 xml:space="preserve">A measure of variables over time which can be used to measure achievement </w:t>
            </w:r>
            <w:r w:rsidR="00913776" w:rsidRPr="00483A60">
              <w:rPr>
                <w:rFonts w:ascii="Calibri" w:eastAsia="Calibri" w:hAnsi="Calibri" w:cs="Calibri"/>
                <w:b/>
                <w:noProof/>
                <w:color w:val="000000"/>
                <w:sz w:val="32"/>
                <w:szCs w:val="32"/>
                <w:lang w:eastAsia="en-GB"/>
              </w:rPr>
              <mc:AlternateContent>
                <mc:Choice Requires="wps">
                  <w:drawing>
                    <wp:anchor distT="0" distB="0" distL="114300" distR="114300" simplePos="0" relativeHeight="251772928" behindDoc="0" locked="0" layoutInCell="1" allowOverlap="1" wp14:anchorId="316C3A86" wp14:editId="200DF0DC">
                      <wp:simplePos x="0" y="0"/>
                      <wp:positionH relativeFrom="column">
                        <wp:posOffset>3327400</wp:posOffset>
                      </wp:positionH>
                      <wp:positionV relativeFrom="paragraph">
                        <wp:posOffset>-636905</wp:posOffset>
                      </wp:positionV>
                      <wp:extent cx="1212215" cy="352425"/>
                      <wp:effectExtent l="0" t="0" r="6985" b="9525"/>
                      <wp:wrapNone/>
                      <wp:docPr id="56" name="Text Box 56"/>
                      <wp:cNvGraphicFramePr/>
                      <a:graphic xmlns:a="http://schemas.openxmlformats.org/drawingml/2006/main">
                        <a:graphicData uri="http://schemas.microsoft.com/office/word/2010/wordprocessingShape">
                          <wps:wsp>
                            <wps:cNvSpPr txBox="1"/>
                            <wps:spPr>
                              <a:xfrm>
                                <a:off x="0" y="0"/>
                                <a:ext cx="1212215" cy="352425"/>
                              </a:xfrm>
                              <a:prstGeom prst="rect">
                                <a:avLst/>
                              </a:prstGeom>
                              <a:solidFill>
                                <a:sysClr val="window" lastClr="FFFFFF"/>
                              </a:solidFill>
                              <a:ln w="6350">
                                <a:noFill/>
                              </a:ln>
                              <a:effectLst/>
                            </wps:spPr>
                            <wps:txbx>
                              <w:txbxContent>
                                <w:p w:rsidR="000D3CFF" w:rsidRPr="00483A60" w:rsidRDefault="000D3CFF" w:rsidP="00483A60">
                                  <w:pPr>
                                    <w:jc w:val="right"/>
                                    <w:rPr>
                                      <w:b/>
                                      <w:color w:val="31849B" w:themeColor="accent5" w:themeShade="BF"/>
                                    </w:rPr>
                                  </w:pPr>
                                  <w:r w:rsidRPr="00483A60">
                                    <w:rPr>
                                      <w:b/>
                                      <w:color w:val="31849B" w:themeColor="accent5" w:themeShade="BF"/>
                                    </w:rPr>
                                    <w:t>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96" type="#_x0000_t202" style="position:absolute;margin-left:262pt;margin-top:-50.15pt;width:95.45pt;height:27.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" fillcolor="window" stroked="f" strokeweight=".5pt">
                      <v:textbox>
                        <w:txbxContent>
                          <w:p w:rsidR="000D3CFF" w:rsidRPr="00483A60" w:rsidRDefault="000D3CFF" w:rsidP="00483A60">
                            <w:pPr>
                              <w:jc w:val="right"/>
                              <w:rPr>
                                <w:b/>
                                <w:color w:val="31849B" w:themeColor="accent5" w:themeShade="BF"/>
                              </w:rPr>
                            </w:pPr>
                            <w:r w:rsidRPr="00483A60">
                              <w:rPr>
                                <w:b/>
                                <w:color w:val="31849B" w:themeColor="accent5" w:themeShade="BF"/>
                              </w:rPr>
                              <w:t>Glossary</w:t>
                            </w:r>
                          </w:p>
                        </w:txbxContent>
                      </v:textbox>
                    </v:shape>
                  </w:pict>
                </mc:Fallback>
              </mc:AlternateContent>
            </w:r>
            <w:r w:rsidRPr="00CD5D2D">
              <w:rPr>
                <w:rFonts w:ascii="Calibri" w:hAnsi="Calibri"/>
                <w:sz w:val="22"/>
                <w:szCs w:val="22"/>
              </w:rPr>
              <w:t>of objectives</w:t>
            </w:r>
            <w:r w:rsidR="00775C63">
              <w:rPr>
                <w:rFonts w:ascii="Calibri" w:hAnsi="Calibri"/>
                <w:sz w:val="22"/>
                <w:szCs w:val="22"/>
              </w:rPr>
              <w:t>.</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1E7C4C">
              <w:rPr>
                <w:rFonts w:ascii="Calibri" w:hAnsi="Calibri"/>
                <w:b/>
                <w:bCs/>
                <w:color w:val="FFFFFF"/>
                <w:sz w:val="22"/>
                <w:szCs w:val="22"/>
                <w:lang w:val="en-US"/>
              </w:rPr>
              <w:t>Local Development Document (LDD)</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1E7C4C">
              <w:rPr>
                <w:rFonts w:ascii="Calibri" w:hAnsi="Calibri"/>
                <w:sz w:val="22"/>
                <w:szCs w:val="22"/>
                <w:lang w:val="en-US"/>
              </w:rPr>
              <w:t>The documents which (taken as a whole) set out the City Council’s policies relating to the development and use of land in Oxford.</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1E7C4C">
              <w:rPr>
                <w:rFonts w:ascii="Calibri" w:hAnsi="Calibri"/>
                <w:b/>
                <w:bCs/>
                <w:color w:val="FFFFFF"/>
                <w:sz w:val="22"/>
                <w:szCs w:val="22"/>
                <w:lang w:val="en-US"/>
              </w:rPr>
              <w:t>Local Development Scheme (LDS)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1E7C4C">
              <w:rPr>
                <w:rFonts w:ascii="Calibri" w:hAnsi="Calibri"/>
                <w:sz w:val="22"/>
                <w:szCs w:val="22"/>
                <w:lang w:val="en-US"/>
              </w:rPr>
              <w:t xml:space="preserve">A project plan that outlines every Local Development Document that the City Council intends to produce over the next three years along with timetables for their preparation. </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1E7C4C">
              <w:rPr>
                <w:rFonts w:ascii="Calibri" w:hAnsi="Calibri"/>
                <w:b/>
                <w:bCs/>
                <w:color w:val="FFFFFF"/>
                <w:sz w:val="22"/>
                <w:szCs w:val="22"/>
                <w:lang w:val="en-US"/>
              </w:rPr>
              <w:t>Local Plan</w:t>
            </w:r>
          </w:p>
        </w:tc>
        <w:tc>
          <w:tcPr>
            <w:tcW w:w="7207" w:type="dxa"/>
            <w:shd w:val="clear" w:color="auto" w:fill="CCFFFF"/>
            <w:tcMar>
              <w:top w:w="85" w:type="dxa"/>
              <w:bottom w:w="0" w:type="dxa"/>
            </w:tcMar>
          </w:tcPr>
          <w:p w:rsidR="00F1483B" w:rsidRPr="00CD5D2D" w:rsidRDefault="00F1483B" w:rsidP="00DF3EF6">
            <w:pPr>
              <w:pStyle w:val="Header"/>
              <w:rPr>
                <w:rFonts w:ascii="Calibri" w:hAnsi="Calibri"/>
                <w:sz w:val="22"/>
                <w:szCs w:val="22"/>
              </w:rPr>
            </w:pPr>
            <w:r w:rsidRPr="00DF3EF6">
              <w:rPr>
                <w:rFonts w:ascii="Calibri" w:hAnsi="Calibri"/>
                <w:sz w:val="22"/>
                <w:szCs w:val="22"/>
                <w:lang w:val="en-US"/>
              </w:rPr>
              <w:t xml:space="preserve">A Local Plan </w:t>
            </w:r>
            <w:r w:rsidR="00497D6F" w:rsidRPr="00DF3EF6">
              <w:rPr>
                <w:rFonts w:ascii="Calibri" w:hAnsi="Calibri"/>
                <w:sz w:val="22"/>
                <w:szCs w:val="22"/>
                <w:lang w:val="en-US"/>
              </w:rPr>
              <w:t xml:space="preserve">is the term </w:t>
            </w:r>
            <w:r w:rsidR="00DF3EF6" w:rsidRPr="00DF3EF6">
              <w:rPr>
                <w:rFonts w:ascii="Calibri" w:hAnsi="Calibri"/>
                <w:sz w:val="22"/>
                <w:szCs w:val="22"/>
                <w:lang w:val="en-US"/>
              </w:rPr>
              <w:t>now used by the Government to</w:t>
            </w:r>
            <w:r w:rsidR="00497D6F" w:rsidRPr="00DF3EF6">
              <w:rPr>
                <w:rFonts w:ascii="Calibri" w:hAnsi="Calibri"/>
                <w:sz w:val="22"/>
                <w:szCs w:val="22"/>
                <w:lang w:val="en-US"/>
              </w:rPr>
              <w:t xml:space="preserve"> describe </w:t>
            </w:r>
            <w:r w:rsidR="00DF3EF6" w:rsidRPr="00DF3EF6">
              <w:rPr>
                <w:rFonts w:ascii="Calibri" w:hAnsi="Calibri"/>
                <w:sz w:val="22"/>
                <w:szCs w:val="22"/>
                <w:lang w:val="en-US"/>
              </w:rPr>
              <w:t xml:space="preserve">a range of </w:t>
            </w:r>
            <w:r w:rsidR="00497D6F" w:rsidRPr="00DF3EF6">
              <w:rPr>
                <w:rFonts w:ascii="Calibri" w:hAnsi="Calibri"/>
                <w:sz w:val="22"/>
                <w:szCs w:val="22"/>
                <w:lang w:val="en-US"/>
              </w:rPr>
              <w:t>Local Development Documents</w:t>
            </w:r>
            <w:r w:rsidR="00DF3EF6" w:rsidRPr="00DF3EF6">
              <w:rPr>
                <w:rFonts w:ascii="Calibri" w:hAnsi="Calibri"/>
                <w:sz w:val="22"/>
                <w:szCs w:val="22"/>
                <w:lang w:val="en-US"/>
              </w:rPr>
              <w:t xml:space="preserve"> that set out </w:t>
            </w:r>
            <w:r w:rsidR="00497D6F" w:rsidRPr="00DF3EF6">
              <w:rPr>
                <w:rFonts w:ascii="Calibri" w:hAnsi="Calibri"/>
                <w:sz w:val="22"/>
                <w:szCs w:val="22"/>
                <w:lang w:val="en-US"/>
              </w:rPr>
              <w:t xml:space="preserve">) setting out </w:t>
            </w:r>
            <w:r w:rsidR="00DF3EF6" w:rsidRPr="00DF3EF6">
              <w:rPr>
                <w:rFonts w:ascii="Calibri" w:hAnsi="Calibri"/>
                <w:sz w:val="22"/>
                <w:szCs w:val="22"/>
                <w:lang w:val="en-US"/>
              </w:rPr>
              <w:t>objectives and policies relevant to the development and use of land.</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Major applications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Major applications are defined in the General Development Procedure Order 1995 as:</w:t>
            </w:r>
          </w:p>
          <w:p w:rsidR="00F1483B" w:rsidRPr="00CD5D2D" w:rsidRDefault="00F1483B" w:rsidP="004335B5">
            <w:pPr>
              <w:pStyle w:val="Header"/>
              <w:numPr>
                <w:ilvl w:val="0"/>
                <w:numId w:val="5"/>
              </w:numPr>
              <w:tabs>
                <w:tab w:val="clear" w:pos="4513"/>
                <w:tab w:val="clear" w:pos="9026"/>
                <w:tab w:val="num" w:pos="531"/>
                <w:tab w:val="center" w:pos="4153"/>
                <w:tab w:val="right" w:pos="8306"/>
              </w:tabs>
              <w:rPr>
                <w:rFonts w:ascii="Calibri" w:hAnsi="Calibri"/>
                <w:sz w:val="22"/>
                <w:szCs w:val="22"/>
              </w:rPr>
            </w:pPr>
            <w:r w:rsidRPr="00CD5D2D">
              <w:rPr>
                <w:rFonts w:ascii="Calibri" w:hAnsi="Calibri"/>
                <w:sz w:val="22"/>
                <w:szCs w:val="22"/>
              </w:rPr>
              <w:t>a residential development of 10 or more dwellings;</w:t>
            </w:r>
          </w:p>
          <w:p w:rsidR="00F1483B" w:rsidRPr="00CD5D2D" w:rsidRDefault="00F1483B" w:rsidP="004335B5">
            <w:pPr>
              <w:pStyle w:val="Header"/>
              <w:numPr>
                <w:ilvl w:val="0"/>
                <w:numId w:val="5"/>
              </w:numPr>
              <w:tabs>
                <w:tab w:val="clear" w:pos="4513"/>
                <w:tab w:val="clear" w:pos="9026"/>
                <w:tab w:val="num" w:pos="531"/>
                <w:tab w:val="center" w:pos="4153"/>
                <w:tab w:val="right" w:pos="8306"/>
              </w:tabs>
              <w:rPr>
                <w:rFonts w:ascii="Calibri" w:hAnsi="Calibri"/>
                <w:sz w:val="22"/>
                <w:szCs w:val="22"/>
              </w:rPr>
            </w:pPr>
            <w:r w:rsidRPr="00CD5D2D">
              <w:rPr>
                <w:rFonts w:ascii="Calibri" w:hAnsi="Calibri"/>
                <w:sz w:val="22"/>
                <w:szCs w:val="22"/>
              </w:rPr>
              <w:t>residential development on a site of 0.5ha or more;</w:t>
            </w:r>
          </w:p>
          <w:p w:rsidR="00F1483B" w:rsidRPr="00CD5D2D" w:rsidRDefault="00F1483B" w:rsidP="004335B5">
            <w:pPr>
              <w:pStyle w:val="Header"/>
              <w:numPr>
                <w:ilvl w:val="0"/>
                <w:numId w:val="5"/>
              </w:numPr>
              <w:tabs>
                <w:tab w:val="clear" w:pos="4513"/>
                <w:tab w:val="clear" w:pos="9026"/>
                <w:tab w:val="num" w:pos="531"/>
                <w:tab w:val="center" w:pos="4153"/>
                <w:tab w:val="right" w:pos="8306"/>
              </w:tabs>
              <w:rPr>
                <w:rFonts w:ascii="Calibri" w:hAnsi="Calibri"/>
                <w:sz w:val="22"/>
                <w:szCs w:val="22"/>
              </w:rPr>
            </w:pPr>
            <w:r w:rsidRPr="00CD5D2D">
              <w:rPr>
                <w:rFonts w:ascii="Calibri" w:hAnsi="Calibri"/>
                <w:sz w:val="22"/>
                <w:szCs w:val="22"/>
              </w:rPr>
              <w:t xml:space="preserve">development involving a building(s) with a </w:t>
            </w:r>
            <w:proofErr w:type="spellStart"/>
            <w:r w:rsidRPr="00CD5D2D">
              <w:rPr>
                <w:rFonts w:ascii="Calibri" w:hAnsi="Calibri"/>
                <w:sz w:val="22"/>
                <w:szCs w:val="22"/>
              </w:rPr>
              <w:t>floorspace</w:t>
            </w:r>
            <w:proofErr w:type="spellEnd"/>
            <w:r w:rsidRPr="00CD5D2D">
              <w:rPr>
                <w:rFonts w:ascii="Calibri" w:hAnsi="Calibri"/>
                <w:sz w:val="22"/>
                <w:szCs w:val="22"/>
              </w:rPr>
              <w:t xml:space="preserve"> of 1,000 </w:t>
            </w:r>
            <w:proofErr w:type="spellStart"/>
            <w:r w:rsidRPr="00CD5D2D">
              <w:rPr>
                <w:rFonts w:ascii="Calibri" w:hAnsi="Calibri"/>
                <w:sz w:val="22"/>
                <w:szCs w:val="22"/>
              </w:rPr>
              <w:t>sq</w:t>
            </w:r>
            <w:proofErr w:type="spellEnd"/>
            <w:r w:rsidRPr="00CD5D2D">
              <w:rPr>
                <w:rFonts w:ascii="Calibri" w:hAnsi="Calibri"/>
                <w:sz w:val="22"/>
                <w:szCs w:val="22"/>
              </w:rPr>
              <w:t xml:space="preserve"> metres or more;</w:t>
            </w:r>
          </w:p>
          <w:p w:rsidR="00F1483B" w:rsidRPr="001E7C4C" w:rsidRDefault="00F1483B" w:rsidP="004335B5">
            <w:pPr>
              <w:pStyle w:val="Header"/>
              <w:numPr>
                <w:ilvl w:val="0"/>
                <w:numId w:val="5"/>
              </w:numPr>
              <w:tabs>
                <w:tab w:val="clear" w:pos="4513"/>
                <w:tab w:val="clear" w:pos="9026"/>
                <w:tab w:val="num" w:pos="531"/>
                <w:tab w:val="center" w:pos="4153"/>
                <w:tab w:val="right" w:pos="8306"/>
              </w:tabs>
              <w:rPr>
                <w:rFonts w:ascii="Calibri" w:hAnsi="Calibri"/>
                <w:sz w:val="22"/>
                <w:szCs w:val="22"/>
                <w:lang w:val="en-US"/>
              </w:rPr>
            </w:pPr>
            <w:proofErr w:type="gramStart"/>
            <w:r w:rsidRPr="00CD5D2D">
              <w:rPr>
                <w:rFonts w:ascii="Calibri" w:hAnsi="Calibri"/>
                <w:sz w:val="22"/>
                <w:szCs w:val="22"/>
              </w:rPr>
              <w:t>any</w:t>
            </w:r>
            <w:proofErr w:type="gramEnd"/>
            <w:r w:rsidRPr="00CD5D2D">
              <w:rPr>
                <w:rFonts w:ascii="Calibri" w:hAnsi="Calibri"/>
                <w:sz w:val="22"/>
                <w:szCs w:val="22"/>
              </w:rPr>
              <w:t xml:space="preserve"> other development on a site of 1 hectare or more.</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Market indicators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A range of factors which provide a measure of the performance of a centre.</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CD5D2D">
              <w:rPr>
                <w:rFonts w:ascii="Calibri" w:hAnsi="Calibri"/>
                <w:b/>
                <w:bCs/>
                <w:color w:val="FFFFFF"/>
                <w:sz w:val="22"/>
                <w:szCs w:val="22"/>
              </w:rPr>
              <w:t>Previously Developed Land (PDL)</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CD5D2D">
              <w:rPr>
                <w:rFonts w:ascii="Calibri" w:hAnsi="Calibri"/>
                <w:sz w:val="22"/>
                <w:szCs w:val="22"/>
              </w:rPr>
              <w:t>Land that is or was occupied by a permanent structure (excluding agriculture or forestry buildings).  The definition covers the curtilage of the development.</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Primary Shopping Frontage</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 xml:space="preserve">This relates solely to the </w:t>
            </w:r>
            <w:r w:rsidR="003161C9" w:rsidRPr="001E7C4C">
              <w:rPr>
                <w:rFonts w:ascii="Calibri" w:hAnsi="Calibri"/>
                <w:sz w:val="22"/>
                <w:szCs w:val="22"/>
                <w:lang w:val="en-US"/>
              </w:rPr>
              <w:t xml:space="preserve">city </w:t>
            </w:r>
            <w:proofErr w:type="spellStart"/>
            <w:r w:rsidR="003161C9" w:rsidRPr="001E7C4C">
              <w:rPr>
                <w:rFonts w:ascii="Calibri" w:hAnsi="Calibri"/>
                <w:sz w:val="22"/>
                <w:szCs w:val="22"/>
                <w:lang w:val="en-US"/>
              </w:rPr>
              <w:t>centre</w:t>
            </w:r>
            <w:proofErr w:type="spellEnd"/>
            <w:r w:rsidRPr="001E7C4C">
              <w:rPr>
                <w:rFonts w:ascii="Calibri" w:hAnsi="Calibri"/>
                <w:sz w:val="22"/>
                <w:szCs w:val="22"/>
                <w:lang w:val="en-US"/>
              </w:rPr>
              <w:t>.  It aims to ensure the percentage of Class A1 (retail) units remains above 75%.</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 xml:space="preserve">Registered </w:t>
            </w:r>
            <w:r>
              <w:rPr>
                <w:rFonts w:ascii="Calibri" w:hAnsi="Calibri"/>
                <w:b/>
                <w:bCs/>
                <w:color w:val="FFFFFF"/>
                <w:sz w:val="22"/>
                <w:szCs w:val="22"/>
                <w:lang w:val="en-US"/>
              </w:rPr>
              <w:t>Providers (RP’s)</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 xml:space="preserve">An </w:t>
            </w:r>
            <w:proofErr w:type="spellStart"/>
            <w:r w:rsidRPr="001E7C4C">
              <w:rPr>
                <w:rFonts w:ascii="Calibri" w:hAnsi="Calibri"/>
                <w:sz w:val="22"/>
                <w:szCs w:val="22"/>
                <w:lang w:val="en-US"/>
              </w:rPr>
              <w:t>organisation</w:t>
            </w:r>
            <w:proofErr w:type="spellEnd"/>
            <w:r w:rsidRPr="001E7C4C">
              <w:rPr>
                <w:rFonts w:ascii="Calibri" w:hAnsi="Calibri"/>
                <w:sz w:val="22"/>
                <w:szCs w:val="22"/>
                <w:lang w:val="en-US"/>
              </w:rPr>
              <w:t xml:space="preserve">, usually a Housing Association, registered by the </w:t>
            </w:r>
            <w:r w:rsidRPr="00DF7681">
              <w:rPr>
                <w:rFonts w:ascii="Calibri" w:hAnsi="Calibri"/>
                <w:sz w:val="22"/>
                <w:szCs w:val="22"/>
                <w:lang w:val="en-US"/>
              </w:rPr>
              <w:t>Homes and Communities Agency</w:t>
            </w:r>
            <w:r w:rsidRPr="001E7C4C">
              <w:rPr>
                <w:rFonts w:ascii="Calibri" w:hAnsi="Calibri"/>
                <w:sz w:val="22"/>
                <w:szCs w:val="22"/>
                <w:lang w:val="en-US"/>
              </w:rPr>
              <w:t xml:space="preserve"> to provide affordable housing.</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Secondary Shopping Frontage</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 xml:space="preserve">These relate to the </w:t>
            </w:r>
            <w:r w:rsidR="003161C9" w:rsidRPr="001E7C4C">
              <w:rPr>
                <w:rFonts w:ascii="Calibri" w:hAnsi="Calibri"/>
                <w:sz w:val="22"/>
                <w:szCs w:val="22"/>
                <w:lang w:val="en-US"/>
              </w:rPr>
              <w:t xml:space="preserve">city </w:t>
            </w:r>
            <w:proofErr w:type="spellStart"/>
            <w:r w:rsidR="003161C9" w:rsidRPr="001E7C4C">
              <w:rPr>
                <w:rFonts w:ascii="Calibri" w:hAnsi="Calibri"/>
                <w:sz w:val="22"/>
                <w:szCs w:val="22"/>
                <w:lang w:val="en-US"/>
              </w:rPr>
              <w:t>centre</w:t>
            </w:r>
            <w:proofErr w:type="spellEnd"/>
            <w:r w:rsidRPr="001E7C4C">
              <w:rPr>
                <w:rFonts w:ascii="Calibri" w:hAnsi="Calibri"/>
                <w:sz w:val="22"/>
                <w:szCs w:val="22"/>
                <w:lang w:val="en-US"/>
              </w:rPr>
              <w:t xml:space="preserve"> and parts of the Cowley Road and St. Clements.  Secondary Shopping Frontages ensure a predominance of Class A1 (retail) uses, but allows for other Class A uses.  A small proportion of other uses are possible on their merits. Residential use is not an acceptable use at ground-floor level in the Secondary Shopping Frontages.</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Sites of Local Importance for Nature Conservation (SLINC)</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A site containing important habitats, plans and animals in the context of Oxford.</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Sites of Special Scientific Interest (SSSI)</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Areas identified by English Nature as being of special interest for their ecological or geological features.</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sidRPr="001E7C4C">
              <w:rPr>
                <w:rFonts w:ascii="Calibri" w:hAnsi="Calibri"/>
                <w:b/>
                <w:bCs/>
                <w:color w:val="FFFFFF"/>
                <w:sz w:val="22"/>
                <w:szCs w:val="22"/>
                <w:lang w:val="en-US"/>
              </w:rPr>
              <w:t>Special Areas of Conservation (SACs)</w:t>
            </w:r>
          </w:p>
        </w:tc>
        <w:tc>
          <w:tcPr>
            <w:tcW w:w="7207" w:type="dxa"/>
            <w:shd w:val="clear" w:color="auto" w:fill="CCFFFF"/>
            <w:tcMar>
              <w:top w:w="85" w:type="dxa"/>
              <w:bottom w:w="0" w:type="dxa"/>
            </w:tcMar>
          </w:tcPr>
          <w:p w:rsidR="00F1483B" w:rsidRPr="001E7C4C" w:rsidRDefault="00F1483B" w:rsidP="00080674">
            <w:pPr>
              <w:pStyle w:val="Header"/>
              <w:rPr>
                <w:rFonts w:ascii="Calibri" w:hAnsi="Calibri"/>
                <w:sz w:val="22"/>
                <w:szCs w:val="22"/>
                <w:lang w:val="en-US"/>
              </w:rPr>
            </w:pPr>
            <w:r w:rsidRPr="001E7C4C">
              <w:rPr>
                <w:rFonts w:ascii="Calibri" w:hAnsi="Calibri"/>
                <w:sz w:val="22"/>
                <w:szCs w:val="22"/>
                <w:lang w:val="en-US"/>
              </w:rPr>
              <w:t>These consist of areas that are vitally important for nature conservation and have been identified as containing the best examples of habitats and species under the European Habitats Directive 1992.</w:t>
            </w:r>
          </w:p>
        </w:tc>
      </w:tr>
      <w:tr w:rsidR="00F1483B" w:rsidRPr="001E7C4C" w:rsidTr="00080674">
        <w:tc>
          <w:tcPr>
            <w:tcW w:w="2333" w:type="dxa"/>
            <w:shd w:val="clear" w:color="auto" w:fill="008080"/>
            <w:tcMar>
              <w:top w:w="57" w:type="dxa"/>
              <w:bottom w:w="0" w:type="dxa"/>
            </w:tcMar>
          </w:tcPr>
          <w:p w:rsidR="00F1483B" w:rsidRPr="00CD5D2D" w:rsidRDefault="00F1483B" w:rsidP="00080674">
            <w:pPr>
              <w:pStyle w:val="Header"/>
              <w:rPr>
                <w:rFonts w:ascii="Calibri" w:hAnsi="Calibri"/>
                <w:b/>
                <w:bCs/>
                <w:color w:val="FFFFFF"/>
                <w:sz w:val="22"/>
                <w:szCs w:val="22"/>
              </w:rPr>
            </w:pPr>
            <w:r w:rsidRPr="001E7C4C">
              <w:rPr>
                <w:rFonts w:ascii="Calibri" w:hAnsi="Calibri"/>
                <w:b/>
                <w:bCs/>
                <w:color w:val="FFFFFF"/>
                <w:sz w:val="22"/>
                <w:szCs w:val="22"/>
                <w:lang w:val="en-US"/>
              </w:rPr>
              <w:t>Supplementary Planning Documents (SPDs)</w:t>
            </w:r>
          </w:p>
        </w:tc>
        <w:tc>
          <w:tcPr>
            <w:tcW w:w="7207" w:type="dxa"/>
            <w:shd w:val="clear" w:color="auto" w:fill="CCFFFF"/>
            <w:tcMar>
              <w:top w:w="85" w:type="dxa"/>
              <w:bottom w:w="0" w:type="dxa"/>
            </w:tcMar>
          </w:tcPr>
          <w:p w:rsidR="00F1483B" w:rsidRPr="00CD5D2D" w:rsidRDefault="00F1483B" w:rsidP="00080674">
            <w:pPr>
              <w:pStyle w:val="Header"/>
              <w:rPr>
                <w:rFonts w:ascii="Calibri" w:hAnsi="Calibri"/>
                <w:sz w:val="22"/>
                <w:szCs w:val="22"/>
              </w:rPr>
            </w:pPr>
            <w:r w:rsidRPr="001E7C4C">
              <w:rPr>
                <w:rFonts w:ascii="Calibri" w:hAnsi="Calibri"/>
                <w:sz w:val="22"/>
                <w:szCs w:val="22"/>
                <w:lang w:val="en-US"/>
              </w:rPr>
              <w:t>A type of Local Development Document that supplements and elaborates on policies and proposals in Development Plan Documents. It does not form part of the Development Plan and is not subject to independent examination</w:t>
            </w:r>
          </w:p>
        </w:tc>
      </w:tr>
      <w:tr w:rsidR="00F1483B" w:rsidRPr="001E7C4C" w:rsidTr="00080674">
        <w:tc>
          <w:tcPr>
            <w:tcW w:w="2333" w:type="dxa"/>
            <w:shd w:val="clear" w:color="auto" w:fill="008080"/>
            <w:tcMar>
              <w:top w:w="57" w:type="dxa"/>
              <w:bottom w:w="0" w:type="dxa"/>
            </w:tcMar>
          </w:tcPr>
          <w:p w:rsidR="00F1483B" w:rsidRDefault="00F1483B" w:rsidP="00080674">
            <w:pPr>
              <w:pStyle w:val="Header"/>
              <w:rPr>
                <w:rFonts w:ascii="Calibri" w:hAnsi="Calibri"/>
                <w:b/>
                <w:bCs/>
                <w:color w:val="FFFFFF"/>
                <w:sz w:val="22"/>
                <w:szCs w:val="22"/>
                <w:lang w:val="en-US"/>
              </w:rPr>
            </w:pPr>
            <w:r>
              <w:rPr>
                <w:rFonts w:ascii="Calibri" w:hAnsi="Calibri"/>
                <w:b/>
                <w:bCs/>
                <w:color w:val="FFFFFF"/>
                <w:sz w:val="22"/>
                <w:szCs w:val="22"/>
                <w:lang w:val="en-US"/>
              </w:rPr>
              <w:t>Tree Preservation Order</w:t>
            </w:r>
          </w:p>
        </w:tc>
        <w:tc>
          <w:tcPr>
            <w:tcW w:w="7207" w:type="dxa"/>
            <w:shd w:val="clear" w:color="auto" w:fill="CCFFFF"/>
            <w:tcMar>
              <w:top w:w="85" w:type="dxa"/>
              <w:bottom w:w="0" w:type="dxa"/>
            </w:tcMar>
          </w:tcPr>
          <w:p w:rsidR="00F1483B" w:rsidRPr="008B30B5" w:rsidRDefault="00F1483B" w:rsidP="00080674">
            <w:pPr>
              <w:pStyle w:val="Header"/>
              <w:rPr>
                <w:rFonts w:ascii="Calibri" w:hAnsi="Calibri"/>
                <w:sz w:val="22"/>
                <w:szCs w:val="22"/>
                <w:highlight w:val="yellow"/>
                <w:lang w:val="en-US"/>
              </w:rPr>
            </w:pPr>
            <w:r w:rsidRPr="00DF7681">
              <w:rPr>
                <w:rFonts w:ascii="Calibri" w:hAnsi="Calibri"/>
                <w:sz w:val="22"/>
                <w:szCs w:val="22"/>
                <w:lang w:val="en-US"/>
              </w:rPr>
              <w:t>A legal order, that is made by the local planning authority, that prohibits the cutting down, uprooting, topping, lopping, willful damage or willful destruction of a tree or group of trees without the express permission of that authority.</w:t>
            </w:r>
          </w:p>
        </w:tc>
      </w:tr>
      <w:tr w:rsidR="00F1483B" w:rsidRPr="001E7C4C" w:rsidTr="00080674">
        <w:tc>
          <w:tcPr>
            <w:tcW w:w="2333" w:type="dxa"/>
            <w:shd w:val="clear" w:color="auto" w:fill="008080"/>
            <w:tcMar>
              <w:top w:w="57" w:type="dxa"/>
              <w:bottom w:w="0" w:type="dxa"/>
            </w:tcMar>
          </w:tcPr>
          <w:p w:rsidR="00F1483B" w:rsidRPr="001E7C4C" w:rsidRDefault="00F1483B" w:rsidP="00080674">
            <w:pPr>
              <w:pStyle w:val="Header"/>
              <w:rPr>
                <w:rFonts w:ascii="Calibri" w:hAnsi="Calibri"/>
                <w:b/>
                <w:bCs/>
                <w:color w:val="FFFFFF"/>
                <w:sz w:val="22"/>
                <w:szCs w:val="22"/>
                <w:lang w:val="en-US"/>
              </w:rPr>
            </w:pPr>
            <w:r>
              <w:rPr>
                <w:rFonts w:ascii="Calibri" w:hAnsi="Calibri"/>
                <w:b/>
                <w:bCs/>
                <w:color w:val="FFFFFF"/>
                <w:sz w:val="22"/>
                <w:szCs w:val="22"/>
                <w:lang w:val="en-US"/>
              </w:rPr>
              <w:t>Vitality indicator</w:t>
            </w:r>
          </w:p>
        </w:tc>
        <w:tc>
          <w:tcPr>
            <w:tcW w:w="7207" w:type="dxa"/>
            <w:shd w:val="clear" w:color="auto" w:fill="CCFFFF"/>
            <w:tcMar>
              <w:top w:w="85" w:type="dxa"/>
              <w:bottom w:w="0" w:type="dxa"/>
            </w:tcMar>
          </w:tcPr>
          <w:p w:rsidR="00F1483B" w:rsidRPr="0086646C" w:rsidRDefault="00F1483B" w:rsidP="00080674">
            <w:pPr>
              <w:pStyle w:val="Header"/>
              <w:rPr>
                <w:rFonts w:ascii="Calibri" w:hAnsi="Calibri"/>
                <w:sz w:val="22"/>
                <w:szCs w:val="22"/>
                <w:lang w:val="en-US"/>
              </w:rPr>
            </w:pPr>
            <w:r w:rsidRPr="00CD5D2D">
              <w:rPr>
                <w:rFonts w:ascii="Calibri" w:hAnsi="Calibri"/>
                <w:sz w:val="22"/>
                <w:szCs w:val="22"/>
              </w:rPr>
              <w:t>One of the market indicators. It includes the proportion of vacant units.</w:t>
            </w:r>
          </w:p>
        </w:tc>
      </w:tr>
    </w:tbl>
    <w:p w:rsidR="00E63AD1" w:rsidRDefault="00E63AD1" w:rsidP="00F1483B">
      <w:pPr>
        <w:rPr>
          <w:rFonts w:asciiTheme="minorHAnsi" w:hAnsiTheme="minorHAnsi" w:cstheme="minorHAnsi"/>
          <w:b/>
          <w:color w:val="403152" w:themeColor="accent4" w:themeShade="80"/>
          <w:sz w:val="28"/>
          <w:szCs w:val="22"/>
        </w:rPr>
        <w:sectPr w:rsidR="00E63AD1" w:rsidSect="009B1093">
          <w:pgSz w:w="11906" w:h="16838"/>
          <w:pgMar w:top="1440" w:right="1440" w:bottom="1440" w:left="1440" w:header="708" w:footer="708" w:gutter="0"/>
          <w:cols w:space="708"/>
          <w:docGrid w:linePitch="360"/>
        </w:sectPr>
      </w:pPr>
    </w:p>
    <w:p w:rsidR="00E63AD1" w:rsidRPr="00E63AD1" w:rsidRDefault="00E63AD1" w:rsidP="00E63AD1">
      <w:pPr>
        <w:spacing w:after="120"/>
        <w:rPr>
          <w:rFonts w:ascii="Calibri" w:eastAsia="Calibri" w:hAnsi="Calibri" w:cs="Times New Roman"/>
          <w:b/>
          <w:sz w:val="28"/>
          <w:szCs w:val="28"/>
        </w:rPr>
      </w:pPr>
      <w:r w:rsidRPr="00E63AD1">
        <w:rPr>
          <w:rFonts w:ascii="Calibri" w:eastAsia="Calibri" w:hAnsi="Calibri" w:cs="Times New Roman"/>
          <w:b/>
          <w:sz w:val="28"/>
          <w:szCs w:val="28"/>
        </w:rPr>
        <w:lastRenderedPageBreak/>
        <w:t xml:space="preserve">Appendix 1: Core Strategy Sustainability Appraisal Monitoring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1985"/>
        <w:gridCol w:w="2410"/>
        <w:gridCol w:w="2126"/>
        <w:gridCol w:w="2410"/>
        <w:gridCol w:w="2835"/>
      </w:tblGrid>
      <w:tr w:rsidR="00E63AD1" w:rsidRPr="00E63AD1" w:rsidTr="00E63AD1">
        <w:trPr>
          <w:tblHeader/>
        </w:trPr>
        <w:tc>
          <w:tcPr>
            <w:tcW w:w="1384"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Topic</w:t>
            </w:r>
          </w:p>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(by SA objective)</w:t>
            </w:r>
          </w:p>
        </w:tc>
        <w:tc>
          <w:tcPr>
            <w:tcW w:w="2126"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Indicator</w:t>
            </w:r>
          </w:p>
        </w:tc>
        <w:tc>
          <w:tcPr>
            <w:tcW w:w="1985"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Who monitors, how frequently</w:t>
            </w:r>
          </w:p>
        </w:tc>
        <w:tc>
          <w:tcPr>
            <w:tcW w:w="2410"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Target</w:t>
            </w:r>
          </w:p>
        </w:tc>
        <w:tc>
          <w:tcPr>
            <w:tcW w:w="2126"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Threshold for remedial action</w:t>
            </w:r>
          </w:p>
        </w:tc>
        <w:tc>
          <w:tcPr>
            <w:tcW w:w="2410" w:type="dxa"/>
            <w:shd w:val="clear" w:color="auto" w:fill="215868"/>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Reason for monitoring</w:t>
            </w:r>
          </w:p>
        </w:tc>
        <w:tc>
          <w:tcPr>
            <w:tcW w:w="2835" w:type="dxa"/>
            <w:shd w:val="clear" w:color="auto" w:fill="215868" w:themeFill="accent5" w:themeFillShade="80"/>
          </w:tcPr>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 xml:space="preserve">Monitoring </w:t>
            </w:r>
          </w:p>
          <w:p w:rsidR="00E63AD1" w:rsidRPr="00E63AD1" w:rsidRDefault="00E63AD1" w:rsidP="00E63AD1">
            <w:pPr>
              <w:jc w:val="center"/>
              <w:rPr>
                <w:rFonts w:ascii="Calibri" w:eastAsia="Calibri" w:hAnsi="Calibri" w:cs="Times New Roman"/>
                <w:b/>
                <w:color w:val="FFFFFF"/>
                <w:sz w:val="22"/>
                <w:szCs w:val="22"/>
              </w:rPr>
            </w:pPr>
            <w:r w:rsidRPr="00E63AD1">
              <w:rPr>
                <w:rFonts w:ascii="Calibri" w:eastAsia="Calibri" w:hAnsi="Calibri" w:cs="Times New Roman"/>
                <w:b/>
                <w:color w:val="FFFFFF"/>
                <w:sz w:val="22"/>
                <w:szCs w:val="22"/>
              </w:rPr>
              <w:t>2013/14</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Population</w:t>
            </w: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Total no. residents</w:t>
            </w:r>
          </w:p>
          <w:p w:rsidR="00E63AD1" w:rsidRPr="00E63AD1" w:rsidRDefault="00E63AD1" w:rsidP="00E63AD1">
            <w:pPr>
              <w:rPr>
                <w:rFonts w:ascii="Calibri" w:eastAsia="Calibri" w:hAnsi="Calibri" w:cs="Times New Roman"/>
                <w:sz w:val="22"/>
                <w:szCs w:val="22"/>
              </w:rPr>
            </w:pP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Oxfordshire County Council, Office of National Statistics</w:t>
            </w: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w:t>
            </w:r>
          </w:p>
        </w:tc>
        <w:tc>
          <w:tcPr>
            <w:tcW w:w="2126"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w:t>
            </w: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Context data on which SA predictions are based</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Snapshot of Oxford</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students</w:t>
            </w:r>
          </w:p>
          <w:p w:rsidR="00E63AD1" w:rsidRPr="00E63AD1" w:rsidRDefault="00E63AD1" w:rsidP="00E63AD1">
            <w:pPr>
              <w:rPr>
                <w:rFonts w:ascii="Calibri" w:eastAsia="Calibri" w:hAnsi="Calibri" w:cs="Times New Roman"/>
                <w:sz w:val="22"/>
                <w:szCs w:val="22"/>
              </w:rPr>
            </w:pP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Univ. of Oxford, Oxford Brookes Univ.</w:t>
            </w:r>
          </w:p>
        </w:tc>
        <w:tc>
          <w:tcPr>
            <w:tcW w:w="2410" w:type="dxa"/>
            <w:vMerge/>
          </w:tcPr>
          <w:p w:rsidR="00E63AD1" w:rsidRPr="00E63AD1" w:rsidRDefault="00E63AD1" w:rsidP="00E63AD1">
            <w:pPr>
              <w:rPr>
                <w:rFonts w:ascii="Calibri" w:eastAsia="Calibri" w:hAnsi="Calibri" w:cs="Times New Roman"/>
                <w:sz w:val="22"/>
                <w:szCs w:val="22"/>
              </w:rPr>
            </w:pPr>
          </w:p>
        </w:tc>
        <w:tc>
          <w:tcPr>
            <w:tcW w:w="2126" w:type="dxa"/>
            <w:vMerge/>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16</w:t>
            </w:r>
          </w:p>
        </w:tc>
      </w:tr>
      <w:tr w:rsidR="00E63AD1" w:rsidRPr="00E63AD1" w:rsidTr="002A61CD">
        <w:trPr>
          <w:trHeight w:val="662"/>
        </w:trPr>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 Flooding</w:t>
            </w: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 Permissions contrary to Environment Agency advice on flooding grounds (CS11)</w:t>
            </w:r>
          </w:p>
        </w:tc>
        <w:tc>
          <w:tcPr>
            <w:tcW w:w="1985" w:type="dxa"/>
            <w:vMerge w:val="restart"/>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shd w:val="clear" w:color="auto" w:fill="auto"/>
          </w:tcPr>
          <w:p w:rsidR="00E63AD1" w:rsidRPr="00E63AD1" w:rsidRDefault="00E63AD1" w:rsidP="00E63AD1">
            <w:pPr>
              <w:spacing w:after="200"/>
              <w:rPr>
                <w:rFonts w:ascii="Calibri" w:eastAsia="Calibri" w:hAnsi="Calibri" w:cs="Times New Roman"/>
                <w:sz w:val="22"/>
                <w:szCs w:val="22"/>
              </w:rPr>
            </w:pPr>
            <w:r w:rsidRPr="00E63AD1">
              <w:rPr>
                <w:rFonts w:ascii="Calibri" w:eastAsia="Calibri" w:hAnsi="Calibri" w:cs="Times New Roman"/>
                <w:sz w:val="22"/>
                <w:szCs w:val="22"/>
              </w:rPr>
              <w:t>0% approved contrary to formal objection</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Significant areas of Oxford are in flood zone 3 – the Strategic Flood Risk Assessment for Oxford noted that about 5000 properties are at risk of flooding in Oxford</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23</w:t>
            </w:r>
          </w:p>
        </w:tc>
      </w:tr>
      <w:tr w:rsidR="00E63AD1" w:rsidRPr="00E63AD1" w:rsidTr="002A61CD">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developments accompanied by a Flood Risk Assessment (CS11)</w:t>
            </w:r>
          </w:p>
        </w:tc>
        <w:tc>
          <w:tcPr>
            <w:tcW w:w="1985" w:type="dxa"/>
            <w:vMerge/>
            <w:shd w:val="clear" w:color="auto" w:fill="auto"/>
          </w:tcPr>
          <w:p w:rsidR="00E63AD1" w:rsidRPr="00E63AD1" w:rsidRDefault="00E63AD1" w:rsidP="00E63AD1">
            <w:pPr>
              <w:rPr>
                <w:rFonts w:ascii="Calibri" w:eastAsia="Calibri" w:hAnsi="Calibri" w:cs="Times New Roman"/>
                <w:sz w:val="22"/>
                <w:szCs w:val="22"/>
              </w:rPr>
            </w:pP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100% of developments of 1ha in flood zone 1; 100% of developments in flood zone 2 or above</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shd w:val="clear" w:color="auto" w:fill="auto"/>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9F09BA" w:rsidP="002A61CD">
            <w:pPr>
              <w:rPr>
                <w:rFonts w:ascii="Calibri" w:eastAsia="Calibri" w:hAnsi="Calibri" w:cs="Times New Roman"/>
                <w:color w:val="FF0000"/>
                <w:sz w:val="22"/>
                <w:szCs w:val="22"/>
              </w:rPr>
            </w:pPr>
            <w:r w:rsidRPr="002A61CD">
              <w:rPr>
                <w:rFonts w:ascii="Calibri" w:eastAsia="Calibri" w:hAnsi="Calibri" w:cs="Times New Roman"/>
                <w:sz w:val="22"/>
                <w:szCs w:val="22"/>
              </w:rPr>
              <w:t>A random sample of</w:t>
            </w:r>
            <w:r w:rsidR="00E109AC" w:rsidRPr="002A61CD">
              <w:rPr>
                <w:rFonts w:ascii="Calibri" w:eastAsia="Calibri" w:hAnsi="Calibri" w:cs="Times New Roman"/>
                <w:sz w:val="22"/>
                <w:szCs w:val="22"/>
              </w:rPr>
              <w:t xml:space="preserve"> 10 applications </w:t>
            </w:r>
            <w:r w:rsidR="002A61CD" w:rsidRPr="002A61CD">
              <w:rPr>
                <w:rFonts w:ascii="Calibri" w:eastAsia="Calibri" w:hAnsi="Calibri" w:cs="Times New Roman"/>
                <w:sz w:val="22"/>
                <w:szCs w:val="22"/>
              </w:rPr>
              <w:t>within Flood Zones 2 and 3 were reviewed</w:t>
            </w:r>
            <w:r w:rsidR="00E109AC" w:rsidRPr="002A61CD">
              <w:rPr>
                <w:rFonts w:ascii="Calibri" w:eastAsia="Calibri" w:hAnsi="Calibri" w:cs="Times New Roman"/>
                <w:sz w:val="22"/>
                <w:szCs w:val="22"/>
              </w:rPr>
              <w:t xml:space="preserve">. </w:t>
            </w:r>
            <w:r w:rsidR="002A61CD" w:rsidRPr="002A61CD">
              <w:rPr>
                <w:rFonts w:ascii="Calibri" w:eastAsia="Calibri" w:hAnsi="Calibri" w:cs="Times New Roman"/>
                <w:sz w:val="22"/>
                <w:szCs w:val="22"/>
              </w:rPr>
              <w:t>90%</w:t>
            </w:r>
            <w:r w:rsidR="00213F1E">
              <w:rPr>
                <w:rFonts w:ascii="Calibri" w:eastAsia="Calibri" w:hAnsi="Calibri" w:cs="Times New Roman"/>
                <w:sz w:val="22"/>
                <w:szCs w:val="22"/>
              </w:rPr>
              <w:t xml:space="preserve"> </w:t>
            </w:r>
            <w:r w:rsidR="002A61CD" w:rsidRPr="002A61CD">
              <w:rPr>
                <w:rFonts w:ascii="Calibri" w:eastAsia="Calibri" w:hAnsi="Calibri" w:cs="Times New Roman"/>
                <w:sz w:val="22"/>
                <w:szCs w:val="22"/>
              </w:rPr>
              <w:t>of applications assessed included a flood risk assessment.</w:t>
            </w:r>
            <w:r w:rsidRPr="002A61CD">
              <w:rPr>
                <w:rFonts w:ascii="Calibri" w:eastAsia="Calibri" w:hAnsi="Calibri" w:cs="Times New Roman"/>
                <w:sz w:val="22"/>
                <w:szCs w:val="22"/>
              </w:rPr>
              <w:t xml:space="preserve"> </w:t>
            </w:r>
          </w:p>
        </w:tc>
      </w:tr>
      <w:tr w:rsidR="00E63AD1" w:rsidRPr="00E63AD1" w:rsidTr="00E63AD1">
        <w:trPr>
          <w:trHeight w:val="761"/>
        </w:trPr>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3. Housing</w:t>
            </w: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Total no. of net additional dwellings in Oxford (CS22)</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Relative to 2006/07:</w:t>
            </w:r>
          </w:p>
          <w:p w:rsidR="00E63AD1" w:rsidRPr="00E63AD1" w:rsidRDefault="00E63AD1" w:rsidP="00E63AD1">
            <w:pPr>
              <w:rPr>
                <w:rFonts w:ascii="Calibri" w:eastAsia="Calibri" w:hAnsi="Calibri" w:cs="Times New Roman"/>
                <w:color w:val="3366FF"/>
                <w:sz w:val="22"/>
                <w:szCs w:val="22"/>
                <w:u w:val="single"/>
              </w:rPr>
            </w:pPr>
            <w:r w:rsidRPr="00E63AD1">
              <w:rPr>
                <w:rFonts w:ascii="Calibri" w:eastAsia="Calibri" w:hAnsi="Calibri" w:cs="Times New Roman"/>
                <w:sz w:val="22"/>
                <w:szCs w:val="22"/>
              </w:rPr>
              <w:t>5692 by 31 March 2016</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8000 by 31 March 2026</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The Core Strategy’s housing allocation for Oxford is 8,000 to 2026.</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10</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students living outside university accommodation (CS25)</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All increase in student numbers to be met by increase in purpose-built student accommodation</w:t>
            </w:r>
          </w:p>
        </w:tc>
        <w:tc>
          <w:tcPr>
            <w:tcW w:w="2126"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If &gt;3000 students live outside university-provided accommodation, no additional planning permission given for additional teaching or administrative accommodation</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The Core Strategy aims to avoid worsening the existing situation where students compete with other groups for accommodation; remedial action is stated in CS25</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16</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Mix of housing completed by house size (CS23)</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95% of schemes to comply with Balance of Dwellings SPD </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12</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Improve standard of housing (CS3)</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100% of homes in regeneration areas exceed Decent Homes Standard by 2010</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w:t>
            </w:r>
          </w:p>
        </w:tc>
      </w:tr>
      <w:tr w:rsidR="00E63AD1" w:rsidRPr="00E63AD1" w:rsidTr="00E63AD1">
        <w:tc>
          <w:tcPr>
            <w:tcW w:w="1384" w:type="dxa"/>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of new-build housing on qualifying sites achieving Building for Life criteria (CS18)</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95% to achieve level 14 or above </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w:t>
            </w:r>
          </w:p>
        </w:tc>
      </w:tr>
      <w:tr w:rsidR="00E63AD1" w:rsidRPr="00E63AD1" w:rsidTr="0037197D">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2. / 4. / 6.–10. Urban renaissance, health, education, crime, vibrant </w:t>
            </w:r>
            <w:proofErr w:type="spellStart"/>
            <w:r w:rsidRPr="00E63AD1">
              <w:rPr>
                <w:rFonts w:ascii="Calibri" w:eastAsia="Calibri" w:hAnsi="Calibri" w:cs="Times New Roman"/>
                <w:sz w:val="22"/>
                <w:szCs w:val="22"/>
              </w:rPr>
              <w:t>commun-ities</w:t>
            </w:r>
            <w:proofErr w:type="spellEnd"/>
            <w:r w:rsidRPr="00E63AD1">
              <w:rPr>
                <w:rFonts w:ascii="Calibri" w:eastAsia="Calibri" w:hAnsi="Calibri" w:cs="Times New Roman"/>
                <w:sz w:val="22"/>
                <w:szCs w:val="22"/>
              </w:rPr>
              <w:t>, services and facilities, culture, leisure, recreation</w:t>
            </w: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Publicly accessible open space, outdoor sports and recreation facilities (CS21)</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5.75 hectares / 1000 population</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The SA noted that all of these topics would be positively affected by the Core Strategy.  Most of them are interrelated (e.g. health is related to provision of health facilities; education to schools) so they are considered jointly.  </w:t>
            </w:r>
            <w:proofErr w:type="gramStart"/>
            <w:r w:rsidRPr="00E63AD1">
              <w:rPr>
                <w:rFonts w:ascii="Calibri" w:eastAsia="Calibri" w:hAnsi="Calibri" w:cs="Times New Roman"/>
                <w:sz w:val="22"/>
                <w:szCs w:val="22"/>
              </w:rPr>
              <w:t>Provision of many of these services are</w:t>
            </w:r>
            <w:proofErr w:type="gramEnd"/>
            <w:r w:rsidRPr="00E63AD1">
              <w:rPr>
                <w:rFonts w:ascii="Calibri" w:eastAsia="Calibri" w:hAnsi="Calibri" w:cs="Times New Roman"/>
                <w:sz w:val="22"/>
                <w:szCs w:val="22"/>
              </w:rPr>
              <w:t xml:space="preserve"> outside the remit of Oxford City Council.</w:t>
            </w:r>
          </w:p>
          <w:p w:rsidR="00E63AD1" w:rsidRPr="00E63AD1" w:rsidRDefault="00E63AD1" w:rsidP="00E63AD1">
            <w:pPr>
              <w:rPr>
                <w:rFonts w:ascii="Calibri" w:eastAsia="Calibri" w:hAnsi="Calibri" w:cs="Times New Roman"/>
                <w:sz w:val="22"/>
                <w:szCs w:val="22"/>
              </w:rPr>
            </w:pP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Oxford’s most deprived ward in health deprivation terms was </w:t>
            </w:r>
            <w:proofErr w:type="spellStart"/>
            <w:r w:rsidRPr="00E63AD1">
              <w:rPr>
                <w:rFonts w:ascii="Calibri" w:eastAsia="Calibri" w:hAnsi="Calibri" w:cs="Times New Roman"/>
                <w:sz w:val="22"/>
                <w:szCs w:val="22"/>
              </w:rPr>
              <w:t>Carfax</w:t>
            </w:r>
            <w:proofErr w:type="spellEnd"/>
            <w:r w:rsidRPr="00E63AD1">
              <w:rPr>
                <w:rFonts w:ascii="Calibri" w:eastAsia="Calibri" w:hAnsi="Calibri" w:cs="Times New Roman"/>
                <w:sz w:val="22"/>
                <w:szCs w:val="22"/>
              </w:rPr>
              <w:t>; it rated in the worst 1% in the country.</w:t>
            </w:r>
          </w:p>
        </w:tc>
        <w:tc>
          <w:tcPr>
            <w:tcW w:w="2835" w:type="dxa"/>
            <w:shd w:val="clear" w:color="auto" w:fill="DAEEF3" w:themeFill="accent5" w:themeFillTint="33"/>
          </w:tcPr>
          <w:p w:rsidR="00E63AD1" w:rsidRPr="00E63AD1" w:rsidRDefault="0037197D" w:rsidP="0037197D">
            <w:pPr>
              <w:rPr>
                <w:rFonts w:ascii="Calibri" w:eastAsia="Calibri" w:hAnsi="Calibri" w:cs="Times New Roman"/>
                <w:sz w:val="22"/>
                <w:szCs w:val="22"/>
              </w:rPr>
            </w:pPr>
            <w:r>
              <w:rPr>
                <w:rFonts w:ascii="Calibri" w:eastAsia="Calibri" w:hAnsi="Calibri" w:cs="Times New Roman"/>
                <w:sz w:val="22"/>
                <w:szCs w:val="22"/>
              </w:rPr>
              <w:t xml:space="preserve">The Council’s Green Spaces Strategy was updated in 2012 and </w:t>
            </w:r>
            <w:r w:rsidR="00B6359D">
              <w:rPr>
                <w:rFonts w:ascii="Calibri" w:eastAsia="Calibri" w:hAnsi="Calibri" w:cs="Times New Roman"/>
                <w:sz w:val="22"/>
                <w:szCs w:val="22"/>
              </w:rPr>
              <w:t>it was found that a standard linked to population was no longer appropriate. The Green Space Strategy 2013-2027 instead focuses on protecting and enhancing existing green space and ensuring that new developments contribute to the provision of high-quality, multi-functional green space where it is required most.</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Quality of existing green spaces (CS21)</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tcPr>
          <w:p w:rsidR="00E63AD1" w:rsidRPr="00E63AD1" w:rsidRDefault="00E63AD1" w:rsidP="00E63AD1">
            <w:pPr>
              <w:rPr>
                <w:rFonts w:ascii="Calibri" w:eastAsia="Calibri" w:hAnsi="Calibri" w:cs="Calibri"/>
                <w:sz w:val="22"/>
                <w:szCs w:val="22"/>
              </w:rPr>
            </w:pPr>
            <w:r w:rsidRPr="00E63AD1">
              <w:rPr>
                <w:rFonts w:ascii="Calibri" w:eastAsia="Calibri" w:hAnsi="Calibri" w:cs="Calibri"/>
                <w:sz w:val="22"/>
                <w:szCs w:val="22"/>
              </w:rPr>
              <w:t>Renew and increase Green Flag status for parks in Oxford</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Indicator 33</w:t>
            </w:r>
          </w:p>
        </w:tc>
      </w:tr>
      <w:tr w:rsidR="00E63AD1" w:rsidRPr="00E63AD1" w:rsidTr="00C2613A">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Access to community facilities (CS20)</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shd w:val="clear" w:color="auto" w:fill="auto"/>
          </w:tcPr>
          <w:p w:rsidR="00E63AD1" w:rsidRPr="00E63AD1" w:rsidRDefault="00E63AD1" w:rsidP="00E63AD1">
            <w:pPr>
              <w:rPr>
                <w:rFonts w:ascii="Calibri" w:eastAsia="Calibri" w:hAnsi="Calibri" w:cs="Calibri"/>
                <w:sz w:val="22"/>
                <w:szCs w:val="22"/>
              </w:rPr>
            </w:pPr>
            <w:r w:rsidRPr="00E63AD1">
              <w:rPr>
                <w:rFonts w:ascii="Calibri" w:eastAsia="Calibri" w:hAnsi="Calibri" w:cs="Calibri"/>
                <w:sz w:val="22"/>
                <w:szCs w:val="22"/>
              </w:rPr>
              <w:t xml:space="preserve">100% of developments that result in the loss of </w:t>
            </w:r>
            <w:r w:rsidRPr="00E63AD1">
              <w:rPr>
                <w:rFonts w:ascii="Calibri" w:eastAsia="Calibri" w:hAnsi="Calibri" w:cs="Calibri"/>
                <w:sz w:val="22"/>
                <w:szCs w:val="22"/>
              </w:rPr>
              <w:lastRenderedPageBreak/>
              <w:t>a community facility to make equivalent alternative provision or improvements to existing provision (unless the existing use is and will continue to be redundant)</w:t>
            </w:r>
          </w:p>
          <w:p w:rsidR="00E63AD1" w:rsidRPr="00E63AD1" w:rsidRDefault="00E63AD1" w:rsidP="00E63AD1">
            <w:pPr>
              <w:rPr>
                <w:rFonts w:ascii="Calibri" w:eastAsia="Calibri" w:hAnsi="Calibri" w:cs="Calibri"/>
                <w:sz w:val="22"/>
                <w:szCs w:val="22"/>
              </w:rPr>
            </w:pPr>
          </w:p>
          <w:p w:rsidR="00E63AD1" w:rsidRPr="00E63AD1" w:rsidRDefault="00E63AD1" w:rsidP="00E63AD1">
            <w:pPr>
              <w:rPr>
                <w:rFonts w:ascii="Calibri" w:eastAsia="Calibri" w:hAnsi="Calibri" w:cs="Calibri"/>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C2613A" w:rsidP="00E63AD1">
            <w:pPr>
              <w:rPr>
                <w:rFonts w:ascii="Calibri" w:eastAsia="Calibri" w:hAnsi="Calibri" w:cs="Times New Roman"/>
                <w:sz w:val="22"/>
                <w:szCs w:val="22"/>
              </w:rPr>
            </w:pPr>
            <w:r>
              <w:rPr>
                <w:rFonts w:ascii="Calibri" w:eastAsia="Calibri" w:hAnsi="Calibri" w:cs="Times New Roman"/>
                <w:sz w:val="22"/>
                <w:szCs w:val="22"/>
              </w:rPr>
              <w:t xml:space="preserve">There were no applications that resulted in the loss of a </w:t>
            </w:r>
            <w:r>
              <w:rPr>
                <w:rFonts w:ascii="Calibri" w:eastAsia="Calibri" w:hAnsi="Calibri" w:cs="Times New Roman"/>
                <w:sz w:val="22"/>
                <w:szCs w:val="22"/>
              </w:rPr>
              <w:lastRenderedPageBreak/>
              <w:t>community facility without providing equivalent alternative provision in 2013/14.</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Index of health deprivation for Oxford’s ‘super output areas’</w:t>
            </w:r>
          </w:p>
          <w:p w:rsidR="00E63AD1" w:rsidRPr="00E63AD1" w:rsidRDefault="00E63AD1" w:rsidP="00E63AD1">
            <w:pPr>
              <w:rPr>
                <w:rFonts w:ascii="Calibri" w:eastAsia="Calibri" w:hAnsi="Calibri" w:cs="Times New Roman"/>
                <w:sz w:val="22"/>
                <w:szCs w:val="22"/>
              </w:rPr>
            </w:pP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CLG, periodic</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Improve ranking, particularly of </w:t>
            </w:r>
            <w:proofErr w:type="spellStart"/>
            <w:r w:rsidRPr="00E63AD1">
              <w:rPr>
                <w:rFonts w:ascii="Calibri" w:eastAsia="Calibri" w:hAnsi="Calibri" w:cs="Times New Roman"/>
                <w:sz w:val="22"/>
                <w:szCs w:val="22"/>
              </w:rPr>
              <w:t>Carfax</w:t>
            </w:r>
            <w:proofErr w:type="spellEnd"/>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Oxford Snapshot</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Density of residential development (CS1)</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City and district centres to deliver higher density residential dev</w:t>
            </w:r>
            <w:r w:rsidR="00763006">
              <w:rPr>
                <w:rFonts w:ascii="Calibri" w:eastAsia="Calibri" w:hAnsi="Calibri" w:cs="Times New Roman"/>
                <w:sz w:val="22"/>
                <w:szCs w:val="22"/>
              </w:rPr>
              <w:t>elopment than within the wider district a</w:t>
            </w:r>
            <w:r w:rsidRPr="00E63AD1">
              <w:rPr>
                <w:rFonts w:ascii="Calibri" w:eastAsia="Calibri" w:hAnsi="Calibri" w:cs="Times New Roman"/>
                <w:sz w:val="22"/>
                <w:szCs w:val="22"/>
              </w:rPr>
              <w:t>rea</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13</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Provision and improvement of local primary healthcare facilities (CS15)</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As per CS15 monitoring</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u w:val="single"/>
              </w:rPr>
              <w:t>Jericho</w:t>
            </w:r>
            <w:r w:rsidRPr="00E63AD1">
              <w:rPr>
                <w:rFonts w:ascii="Calibri" w:eastAsia="Calibri" w:hAnsi="Calibri" w:cs="Times New Roman"/>
                <w:sz w:val="22"/>
                <w:szCs w:val="22"/>
              </w:rPr>
              <w:t xml:space="preserve"> - health centre delivered.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u w:val="single"/>
              </w:rPr>
              <w:t>West End</w:t>
            </w:r>
            <w:r w:rsidRPr="00E63AD1">
              <w:rPr>
                <w:rFonts w:ascii="Calibri" w:eastAsia="Calibri" w:hAnsi="Calibri" w:cs="Times New Roman"/>
                <w:sz w:val="22"/>
                <w:szCs w:val="22"/>
              </w:rPr>
              <w:t xml:space="preserve"> - no progress to date.</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u w:val="single"/>
              </w:rPr>
              <w:t xml:space="preserve">Barton </w:t>
            </w:r>
            <w:r w:rsidRPr="00E63AD1">
              <w:rPr>
                <w:rFonts w:ascii="Calibri" w:eastAsia="Calibri" w:hAnsi="Calibri" w:cs="Times New Roman"/>
                <w:sz w:val="22"/>
                <w:szCs w:val="22"/>
              </w:rPr>
              <w:t>- may be included in the new Barton Community Hub as per the Barton AAP.</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Provision and improvement of local educational facilities  (CS16)</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As per CS16 monitoring</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proofErr w:type="spellStart"/>
            <w:r w:rsidRPr="00E63AD1">
              <w:rPr>
                <w:rFonts w:ascii="Calibri" w:eastAsia="Calibri" w:hAnsi="Calibri" w:cs="Times New Roman"/>
                <w:sz w:val="22"/>
                <w:szCs w:val="22"/>
                <w:u w:val="single"/>
              </w:rPr>
              <w:t>Bayards</w:t>
            </w:r>
            <w:proofErr w:type="spellEnd"/>
            <w:r w:rsidRPr="00E63AD1">
              <w:rPr>
                <w:rFonts w:ascii="Calibri" w:eastAsia="Calibri" w:hAnsi="Calibri" w:cs="Times New Roman"/>
                <w:sz w:val="22"/>
                <w:szCs w:val="22"/>
                <w:u w:val="single"/>
              </w:rPr>
              <w:t xml:space="preserve"> Hill</w:t>
            </w:r>
            <w:r w:rsidRPr="00E63AD1">
              <w:rPr>
                <w:rFonts w:ascii="Calibri" w:eastAsia="Calibri" w:hAnsi="Calibri" w:cs="Times New Roman"/>
                <w:sz w:val="22"/>
                <w:szCs w:val="22"/>
              </w:rPr>
              <w:t xml:space="preserve"> – work underway. </w:t>
            </w:r>
            <w:r w:rsidRPr="00E63AD1">
              <w:rPr>
                <w:rFonts w:ascii="Calibri" w:eastAsia="Calibri" w:hAnsi="Calibri" w:cs="Times New Roman"/>
                <w:sz w:val="22"/>
                <w:szCs w:val="22"/>
                <w:u w:val="single"/>
              </w:rPr>
              <w:t>Wood Farm</w:t>
            </w:r>
            <w:r w:rsidRPr="00E63AD1">
              <w:rPr>
                <w:rFonts w:ascii="Calibri" w:eastAsia="Calibri" w:hAnsi="Calibri" w:cs="Times New Roman"/>
                <w:sz w:val="22"/>
                <w:szCs w:val="22"/>
              </w:rPr>
              <w:t xml:space="preserve"> -completed. </w:t>
            </w:r>
            <w:r w:rsidRPr="00E63AD1">
              <w:rPr>
                <w:rFonts w:ascii="Calibri" w:eastAsia="Calibri" w:hAnsi="Calibri" w:cs="Times New Roman"/>
                <w:sz w:val="22"/>
                <w:szCs w:val="22"/>
                <w:u w:val="single"/>
              </w:rPr>
              <w:t>Oxford Academy</w:t>
            </w:r>
            <w:r w:rsidRPr="00E63AD1">
              <w:rPr>
                <w:rFonts w:ascii="Calibri" w:eastAsia="Calibri" w:hAnsi="Calibri" w:cs="Times New Roman"/>
                <w:sz w:val="22"/>
                <w:szCs w:val="22"/>
              </w:rPr>
              <w:t xml:space="preserve"> – Completed. </w:t>
            </w:r>
            <w:r w:rsidRPr="00E63AD1">
              <w:rPr>
                <w:rFonts w:ascii="Calibri" w:eastAsia="Calibri" w:hAnsi="Calibri" w:cs="Times New Roman"/>
                <w:sz w:val="22"/>
                <w:szCs w:val="22"/>
                <w:u w:val="single"/>
              </w:rPr>
              <w:t>Barton</w:t>
            </w:r>
            <w:r w:rsidRPr="00E63AD1">
              <w:rPr>
                <w:rFonts w:ascii="Calibri" w:eastAsia="Calibri" w:hAnsi="Calibri" w:cs="Times New Roman"/>
                <w:sz w:val="22"/>
                <w:szCs w:val="22"/>
              </w:rPr>
              <w:t xml:space="preserve"> – to be included in new </w:t>
            </w:r>
            <w:r w:rsidRPr="00E63AD1">
              <w:rPr>
                <w:rFonts w:ascii="Calibri" w:eastAsia="Calibri" w:hAnsi="Calibri" w:cs="Times New Roman"/>
                <w:sz w:val="22"/>
                <w:szCs w:val="22"/>
              </w:rPr>
              <w:lastRenderedPageBreak/>
              <w:t xml:space="preserve">development. Outline permission granted.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u w:val="single"/>
              </w:rPr>
              <w:t>Rose Hill</w:t>
            </w:r>
            <w:r w:rsidRPr="00E63AD1">
              <w:rPr>
                <w:rFonts w:ascii="Calibri" w:eastAsia="Calibri" w:hAnsi="Calibri" w:cs="Times New Roman"/>
                <w:sz w:val="22"/>
                <w:szCs w:val="22"/>
              </w:rPr>
              <w:t xml:space="preserve"> – extended.</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Provision of other social infrastructure (CS17)</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Multi-agency delivery means there is no one target.</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of new developments that comply with ‘Secured by Design’ (CS19)</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100%n (i.e. 0% of planning permissions approved contrary to Thames Valley Police Objection)</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shd w:val="clear" w:color="auto" w:fill="auto"/>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18</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5. Poverty, </w:t>
            </w:r>
            <w:proofErr w:type="spellStart"/>
            <w:r w:rsidRPr="00E63AD1">
              <w:rPr>
                <w:rFonts w:ascii="Calibri" w:eastAsia="Calibri" w:hAnsi="Calibri" w:cs="Times New Roman"/>
                <w:sz w:val="22"/>
                <w:szCs w:val="22"/>
              </w:rPr>
              <w:t>regener-ation</w:t>
            </w:r>
            <w:proofErr w:type="spellEnd"/>
            <w:r w:rsidRPr="00E63AD1">
              <w:rPr>
                <w:rFonts w:ascii="Calibri" w:eastAsia="Calibri" w:hAnsi="Calibri" w:cs="Times New Roman"/>
                <w:sz w:val="22"/>
                <w:szCs w:val="22"/>
              </w:rPr>
              <w:t xml:space="preserve">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areas</w:t>
            </w: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affordable housing completions (CS23)</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50% on qualifying sites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150/</w:t>
            </w:r>
            <w:proofErr w:type="spellStart"/>
            <w:r w:rsidRPr="00E63AD1">
              <w:rPr>
                <w:rFonts w:ascii="Calibri" w:eastAsia="Calibri" w:hAnsi="Calibri" w:cs="Times New Roman"/>
                <w:sz w:val="22"/>
                <w:szCs w:val="22"/>
              </w:rPr>
              <w:t>yr</w:t>
            </w:r>
            <w:proofErr w:type="spellEnd"/>
            <w:r w:rsidRPr="00E63AD1">
              <w:rPr>
                <w:rFonts w:ascii="Calibri" w:eastAsia="Calibri" w:hAnsi="Calibri" w:cs="Times New Roman"/>
                <w:sz w:val="22"/>
                <w:szCs w:val="22"/>
              </w:rPr>
              <w:t xml:space="preserve"> in 2008-10</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200/</w:t>
            </w:r>
            <w:proofErr w:type="spellStart"/>
            <w:r w:rsidRPr="00E63AD1">
              <w:rPr>
                <w:rFonts w:ascii="Calibri" w:eastAsia="Calibri" w:hAnsi="Calibri" w:cs="Times New Roman"/>
                <w:sz w:val="22"/>
                <w:szCs w:val="22"/>
              </w:rPr>
              <w:t>yr</w:t>
            </w:r>
            <w:proofErr w:type="spellEnd"/>
            <w:r w:rsidRPr="00E63AD1">
              <w:rPr>
                <w:rFonts w:ascii="Calibri" w:eastAsia="Calibri" w:hAnsi="Calibri" w:cs="Times New Roman"/>
                <w:sz w:val="22"/>
                <w:szCs w:val="22"/>
              </w:rPr>
              <w:t xml:space="preserve"> in 2010-12</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Lack of affordable housing is a significant problem in Oxford</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14</w:t>
            </w:r>
          </w:p>
        </w:tc>
      </w:tr>
      <w:tr w:rsidR="00E63AD1" w:rsidRPr="00E63AD1" w:rsidTr="00E63AD1">
        <w:trPr>
          <w:trHeight w:val="1146"/>
        </w:trPr>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Extent of deprivation in Oxford relative to all areas nationally (CS3)</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CLG, periodic</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Reduce number of super output areas in Oxford in the 20% most deprived in England</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Regeneration of Oxford’s deprived areas – particularly at Barton, Blackbird Leys, Northway, Rose Hill and Wood Farm – is a priority of the Core Strategy.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Oxford compares poorly with other areas of the South east in terms of overcrowded households.  Almost one-third of Asian or Asian British people in Oxford live in overcrowded households.  </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Oxford Snapshot</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households living in temporary accommodation (CS24)</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698 in 2008/09</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577 in 2009/10</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536 in 2010/11</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113 households in temporary accommodation at the end of March 2014. (A reduction of 6% from March 2013).</w:t>
            </w:r>
          </w:p>
        </w:tc>
      </w:tr>
      <w:tr w:rsidR="00E63AD1" w:rsidRPr="00E63AD1" w:rsidTr="00E63AD1">
        <w:trPr>
          <w:trHeight w:val="1159"/>
        </w:trPr>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Timely progress of a regeneration plan for each of the regeneration areas in conjunction with other departments (CS3)</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Timetable to be agreed corporately</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color w:val="FF0000"/>
                <w:sz w:val="22"/>
                <w:szCs w:val="22"/>
              </w:rPr>
            </w:pPr>
            <w:r w:rsidRPr="00E63AD1">
              <w:rPr>
                <w:rFonts w:ascii="Calibri" w:eastAsia="Calibri" w:hAnsi="Calibri" w:cs="Times New Roman"/>
                <w:sz w:val="22"/>
                <w:szCs w:val="22"/>
              </w:rPr>
              <w:t>See AMR Indicator 17</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lastRenderedPageBreak/>
              <w:t>11. / 12. / 15. / 19. Air pollution, climate change, road congestion and pollution, energy efficiency, renewable energy</w:t>
            </w:r>
          </w:p>
        </w:tc>
        <w:tc>
          <w:tcPr>
            <w:tcW w:w="2126" w:type="dxa"/>
            <w:shd w:val="clear" w:color="auto" w:fill="FFFFFF"/>
          </w:tcPr>
          <w:p w:rsidR="00E63AD1" w:rsidRPr="00E63AD1" w:rsidRDefault="00E63AD1" w:rsidP="00E63AD1">
            <w:pPr>
              <w:rPr>
                <w:rFonts w:ascii="Calibri" w:eastAsia="Calibri" w:hAnsi="Calibri" w:cs="Times New Roman"/>
                <w:sz w:val="22"/>
                <w:szCs w:val="22"/>
              </w:rPr>
            </w:pPr>
            <w:proofErr w:type="spellStart"/>
            <w:r w:rsidRPr="00E63AD1">
              <w:rPr>
                <w:rFonts w:ascii="Calibri" w:eastAsia="Calibri" w:hAnsi="Calibri" w:cs="Times New Roman"/>
                <w:sz w:val="22"/>
                <w:szCs w:val="22"/>
              </w:rPr>
              <w:t>NOx</w:t>
            </w:r>
            <w:proofErr w:type="spellEnd"/>
            <w:r w:rsidRPr="00E63AD1">
              <w:rPr>
                <w:rFonts w:ascii="Calibri" w:eastAsia="Calibri" w:hAnsi="Calibri" w:cs="Times New Roman"/>
                <w:sz w:val="22"/>
                <w:szCs w:val="22"/>
              </w:rPr>
              <w:t xml:space="preserve"> levels in Oxford, particularly at </w:t>
            </w:r>
            <w:proofErr w:type="spellStart"/>
            <w:r w:rsidRPr="00E63AD1">
              <w:rPr>
                <w:rFonts w:ascii="Calibri" w:eastAsia="Calibri" w:hAnsi="Calibri" w:cs="Times New Roman"/>
                <w:sz w:val="22"/>
                <w:szCs w:val="22"/>
              </w:rPr>
              <w:t>Binsey</w:t>
            </w:r>
            <w:proofErr w:type="spellEnd"/>
            <w:r w:rsidRPr="00E63AD1">
              <w:rPr>
                <w:rFonts w:ascii="Calibri" w:eastAsia="Calibri" w:hAnsi="Calibri" w:cs="Times New Roman"/>
                <w:sz w:val="22"/>
                <w:szCs w:val="22"/>
              </w:rPr>
              <w:t xml:space="preserve"> and at Oxford Meadows SAC near the A34</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periodic; also through Northern Gateway AAP</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Progressive decrease in </w:t>
            </w:r>
            <w:proofErr w:type="spellStart"/>
            <w:r w:rsidRPr="00E63AD1">
              <w:rPr>
                <w:rFonts w:ascii="Calibri" w:eastAsia="Calibri" w:hAnsi="Calibri" w:cs="Times New Roman"/>
                <w:sz w:val="22"/>
                <w:szCs w:val="22"/>
              </w:rPr>
              <w:t>NOx</w:t>
            </w:r>
            <w:proofErr w:type="spellEnd"/>
            <w:r w:rsidRPr="00E63AD1">
              <w:rPr>
                <w:rFonts w:ascii="Calibri" w:eastAsia="Calibri" w:hAnsi="Calibri" w:cs="Times New Roman"/>
                <w:sz w:val="22"/>
                <w:szCs w:val="22"/>
              </w:rPr>
              <w:t xml:space="preserve">, NO and ozone levels </w:t>
            </w:r>
          </w:p>
        </w:tc>
        <w:tc>
          <w:tcPr>
            <w:tcW w:w="2126"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30µg/m3 </w:t>
            </w:r>
            <w:proofErr w:type="spellStart"/>
            <w:r w:rsidRPr="00E63AD1">
              <w:rPr>
                <w:rFonts w:ascii="Calibri" w:eastAsia="Calibri" w:hAnsi="Calibri" w:cs="Times New Roman"/>
                <w:sz w:val="22"/>
                <w:szCs w:val="22"/>
              </w:rPr>
              <w:t>NOx</w:t>
            </w:r>
            <w:proofErr w:type="spellEnd"/>
            <w:r w:rsidRPr="00E63AD1">
              <w:rPr>
                <w:rFonts w:ascii="Calibri" w:eastAsia="Calibri" w:hAnsi="Calibri" w:cs="Times New Roman"/>
                <w:sz w:val="22"/>
                <w:szCs w:val="22"/>
              </w:rPr>
              <w:t xml:space="preserve"> (threshold level for vegetation) triggers action </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Air quality at Oxford Meadows adjacent to the A34 was identified as a possible problem in the HRA</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Northern Gateway Preliminary Air Quality Assessment.</w:t>
            </w:r>
          </w:p>
        </w:tc>
      </w:tr>
      <w:tr w:rsidR="00E63AD1" w:rsidRPr="00E63AD1" w:rsidTr="00E63AD1">
        <w:trPr>
          <w:trHeight w:val="750"/>
        </w:trPr>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Inner and outer cordon traffic counts (CS14)</w:t>
            </w:r>
          </w:p>
          <w:p w:rsidR="00913776" w:rsidRDefault="00913776" w:rsidP="00E63AD1">
            <w:pPr>
              <w:rPr>
                <w:rFonts w:ascii="Calibri" w:eastAsia="Calibri" w:hAnsi="Calibri" w:cs="Times New Roman"/>
                <w:sz w:val="22"/>
                <w:szCs w:val="22"/>
              </w:rPr>
            </w:pPr>
          </w:p>
          <w:p w:rsidR="00913776" w:rsidRPr="00E63AD1" w:rsidRDefault="00913776" w:rsidP="00E63AD1">
            <w:pPr>
              <w:rPr>
                <w:rFonts w:ascii="Calibri" w:eastAsia="Calibri" w:hAnsi="Calibri" w:cs="Times New Roman"/>
                <w:sz w:val="22"/>
                <w:szCs w:val="22"/>
              </w:rPr>
            </w:pP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Oxfordshire County Council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Inner cordon: no growth</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Outer cordon: no more than 0.2% average annual growth</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Air Quality Management Area covers the whole city Increased congestion and air pollution was identified as a key likely impact of increasing people living and working in Oxford</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34</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people travelling to work by private motor vehicle</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Census, every 10 years</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increase in current level of 43.3%</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Oxford Snapshot</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13. Biodiversity</w:t>
            </w: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Condition of Port Meadow SSSI; integrity of Oxford Meadows SAC</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Natural England</w:t>
            </w:r>
          </w:p>
        </w:tc>
        <w:tc>
          <w:tcPr>
            <w:tcW w:w="2410" w:type="dxa"/>
          </w:tcPr>
          <w:p w:rsidR="00E63AD1" w:rsidRPr="00E63AD1" w:rsidRDefault="00E63AD1" w:rsidP="00E63AD1">
            <w:pPr>
              <w:rPr>
                <w:rFonts w:ascii="Calibri" w:eastAsia="Calibri" w:hAnsi="Calibri" w:cs="Times New Roman"/>
                <w:sz w:val="22"/>
                <w:szCs w:val="22"/>
              </w:rPr>
            </w:pPr>
          </w:p>
        </w:tc>
        <w:tc>
          <w:tcPr>
            <w:tcW w:w="2126"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significant ‘in combination’ impact </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Core Strategy should not, ‘in combination’, significantly affect the integrity of Oxford Meadow SAC</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Natural England Assessment last made 6</w:t>
            </w:r>
            <w:r w:rsidRPr="00E63AD1">
              <w:rPr>
                <w:rFonts w:ascii="Calibri" w:eastAsia="Calibri" w:hAnsi="Calibri" w:cs="Times New Roman"/>
                <w:sz w:val="22"/>
                <w:szCs w:val="22"/>
                <w:vertAlign w:val="superscript"/>
              </w:rPr>
              <w:t xml:space="preserve"> </w:t>
            </w:r>
            <w:r w:rsidRPr="00E63AD1">
              <w:rPr>
                <w:rFonts w:ascii="Calibri" w:eastAsia="Calibri" w:hAnsi="Calibri" w:cs="Times New Roman"/>
                <w:sz w:val="22"/>
                <w:szCs w:val="22"/>
              </w:rPr>
              <w:t>July 2010. 3 units in favourable condition. 1 unit unfavourable but recovering.</w:t>
            </w:r>
            <w:r w:rsidRPr="00E63AD1">
              <w:rPr>
                <w:rFonts w:ascii="Calibri" w:eastAsia="Calibri" w:hAnsi="Calibri" w:cs="Times New Roman"/>
                <w:sz w:val="22"/>
                <w:szCs w:val="22"/>
                <w:vertAlign w:val="superscript"/>
              </w:rPr>
              <w:t>1</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Change in populations of biodiversity importance (CS12)</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Thames Valley Environmental Records Office</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No net reduction in BAP priority habitats and species, i.e. 96 priority species, 326.7 hectares priority habitat </w:t>
            </w:r>
          </w:p>
          <w:p w:rsidR="00E63AD1" w:rsidRPr="00E63AD1" w:rsidRDefault="00E63AD1" w:rsidP="00E63AD1">
            <w:pPr>
              <w:rPr>
                <w:rFonts w:ascii="Calibri" w:eastAsia="Calibri" w:hAnsi="Calibri" w:cs="Times New Roman"/>
                <w:sz w:val="22"/>
                <w:szCs w:val="22"/>
              </w:rPr>
            </w:pP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22</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Change in areas of biodiversity importance (CS12)</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No net reduction in SAC (177.1ha), SSSI (278.2ha), CONS (63.5ha), SLINC (202.5ha), LNR (11.5ha, 3 sites), RIGS (2) </w:t>
            </w:r>
          </w:p>
          <w:p w:rsidR="00213F1E" w:rsidRPr="00E63AD1" w:rsidRDefault="00213F1E" w:rsidP="00E63AD1">
            <w:pPr>
              <w:rPr>
                <w:rFonts w:ascii="Calibri" w:eastAsia="Calibri" w:hAnsi="Calibri" w:cs="Times New Roman"/>
                <w:sz w:val="22"/>
                <w:szCs w:val="22"/>
              </w:rPr>
            </w:pP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22</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lastRenderedPageBreak/>
              <w:t>14. Countryside and historic environ-</w:t>
            </w:r>
            <w:proofErr w:type="spellStart"/>
            <w:r w:rsidRPr="00E63AD1">
              <w:rPr>
                <w:rFonts w:ascii="Calibri" w:eastAsia="Calibri" w:hAnsi="Calibri" w:cs="Times New Roman"/>
                <w:sz w:val="22"/>
                <w:szCs w:val="22"/>
              </w:rPr>
              <w:t>ment</w:t>
            </w:r>
            <w:proofErr w:type="spellEnd"/>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heritage assets at risk (CS18)</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No net increase from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0 Registered Parks and Gardens, 0 Conservation Areas, 1 Listed Building, 2 </w:t>
            </w:r>
            <w:proofErr w:type="spellStart"/>
            <w:r w:rsidRPr="00E63AD1">
              <w:rPr>
                <w:rFonts w:ascii="Calibri" w:eastAsia="Calibri" w:hAnsi="Calibri" w:cs="Times New Roman"/>
                <w:sz w:val="22"/>
                <w:szCs w:val="22"/>
              </w:rPr>
              <w:t>Sched</w:t>
            </w:r>
            <w:proofErr w:type="spellEnd"/>
            <w:r w:rsidRPr="00E63AD1">
              <w:rPr>
                <w:rFonts w:ascii="Calibri" w:eastAsia="Calibri" w:hAnsi="Calibri" w:cs="Times New Roman"/>
                <w:sz w:val="22"/>
                <w:szCs w:val="22"/>
              </w:rPr>
              <w:t>. Monuments</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Oxford’s heritage contributes to the quality of life of its residents, and helps to support its economy, including tourism.  The proposed monitoring aims to respond to points made at the Core Strategy Examination.</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27</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 developments involving demolition or substantial demolition of a listed building, or of a building or structure that contributes to the character / appearance of a Conservation Area (when contrary to officer’s/English Heritage recommendation)</w:t>
            </w:r>
            <w:r w:rsidRPr="00E63AD1">
              <w:rPr>
                <w:rFonts w:ascii="Calibri" w:eastAsia="Calibri" w:hAnsi="Calibri" w:cs="Times New Roman"/>
                <w:color w:val="3366FF"/>
                <w:sz w:val="22"/>
                <w:szCs w:val="22"/>
                <w:u w:val="single"/>
              </w:rPr>
              <w:t xml:space="preserve"> </w:t>
            </w:r>
            <w:r w:rsidRPr="00E63AD1">
              <w:rPr>
                <w:rFonts w:ascii="Calibri" w:eastAsia="Calibri" w:hAnsi="Calibri" w:cs="Times New Roman"/>
                <w:sz w:val="22"/>
                <w:szCs w:val="22"/>
              </w:rPr>
              <w:t>(CS18)</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0</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w:t>
            </w:r>
            <w:r w:rsidR="00913776">
              <w:rPr>
                <w:rFonts w:ascii="Calibri" w:eastAsia="Calibri" w:hAnsi="Calibri" w:cs="Times New Roman"/>
                <w:sz w:val="22"/>
                <w:szCs w:val="22"/>
              </w:rPr>
              <w:t xml:space="preserve"> AMR</w:t>
            </w:r>
            <w:r w:rsidRPr="00E63AD1">
              <w:rPr>
                <w:rFonts w:ascii="Calibri" w:eastAsia="Calibri" w:hAnsi="Calibri" w:cs="Times New Roman"/>
                <w:sz w:val="22"/>
                <w:szCs w:val="22"/>
              </w:rPr>
              <w:t xml:space="preserve"> Indicator 29</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Development of a Heritage Plan for Oxford City (CS18)</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Completion by 2015</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Work</w:t>
            </w:r>
            <w:r w:rsidR="00913776">
              <w:rPr>
                <w:rFonts w:ascii="Calibri" w:eastAsia="Calibri" w:hAnsi="Calibri" w:cs="Times New Roman"/>
                <w:sz w:val="22"/>
                <w:szCs w:val="22"/>
              </w:rPr>
              <w:t xml:space="preserve"> on the Heritage Plan is</w:t>
            </w:r>
            <w:r w:rsidRPr="00E63AD1">
              <w:rPr>
                <w:rFonts w:ascii="Calibri" w:eastAsia="Calibri" w:hAnsi="Calibri" w:cs="Times New Roman"/>
                <w:sz w:val="22"/>
                <w:szCs w:val="22"/>
              </w:rPr>
              <w:t xml:space="preserve"> </w:t>
            </w:r>
            <w:r w:rsidR="00913776">
              <w:rPr>
                <w:rFonts w:ascii="Calibri" w:eastAsia="Calibri" w:hAnsi="Calibri" w:cs="Times New Roman"/>
                <w:sz w:val="22"/>
                <w:szCs w:val="22"/>
              </w:rPr>
              <w:t xml:space="preserve">currently </w:t>
            </w:r>
            <w:r w:rsidRPr="00E63AD1">
              <w:rPr>
                <w:rFonts w:ascii="Calibri" w:eastAsia="Calibri" w:hAnsi="Calibri" w:cs="Times New Roman"/>
                <w:sz w:val="22"/>
                <w:szCs w:val="22"/>
              </w:rPr>
              <w:t>in progress.</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Length of footpaths,  bridleways and permissive rights of way per person</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Oxfordshire County Council</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No decrease </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Footpaths and </w:t>
            </w:r>
            <w:proofErr w:type="spellStart"/>
            <w:r w:rsidRPr="00E63AD1">
              <w:rPr>
                <w:rFonts w:ascii="Calibri" w:eastAsia="Calibri" w:hAnsi="Calibri" w:cs="Times New Roman"/>
                <w:sz w:val="22"/>
                <w:szCs w:val="22"/>
              </w:rPr>
              <w:t>bridlepaths</w:t>
            </w:r>
            <w:proofErr w:type="spellEnd"/>
            <w:r w:rsidRPr="00E63AD1">
              <w:rPr>
                <w:rFonts w:ascii="Calibri" w:eastAsia="Calibri" w:hAnsi="Calibri" w:cs="Times New Roman"/>
                <w:sz w:val="22"/>
                <w:szCs w:val="22"/>
              </w:rPr>
              <w:t xml:space="preserve"> allow access to the countryside and to services, and support good health</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Public rights of way in Oxfordshire</w:t>
            </w:r>
          </w:p>
          <w:p w:rsidR="00E63AD1" w:rsidRPr="00E63AD1" w:rsidRDefault="00E63AD1" w:rsidP="00E63AD1">
            <w:pPr>
              <w:rPr>
                <w:rFonts w:ascii="Calibri" w:eastAsia="Calibri" w:hAnsi="Calibri" w:cs="Times New Roman"/>
                <w:sz w:val="22"/>
                <w:szCs w:val="22"/>
                <w:vertAlign w:val="superscript"/>
              </w:rPr>
            </w:pPr>
            <w:r w:rsidRPr="00E63AD1">
              <w:rPr>
                <w:rFonts w:ascii="Calibri" w:eastAsia="Calibri" w:hAnsi="Calibri" w:cs="Times New Roman"/>
                <w:sz w:val="22"/>
                <w:szCs w:val="22"/>
              </w:rPr>
              <w:t>2006: 2,602 miles</w:t>
            </w:r>
            <w:r w:rsidRPr="00E63AD1">
              <w:rPr>
                <w:rFonts w:ascii="Calibri" w:eastAsia="Calibri" w:hAnsi="Calibri" w:cs="Times New Roman"/>
                <w:sz w:val="22"/>
                <w:szCs w:val="22"/>
                <w:vertAlign w:val="superscript"/>
              </w:rPr>
              <w:t>2</w:t>
            </w:r>
          </w:p>
          <w:p w:rsidR="00E63AD1" w:rsidRPr="00E63AD1" w:rsidRDefault="00E63AD1" w:rsidP="00E63AD1">
            <w:pPr>
              <w:rPr>
                <w:rFonts w:ascii="Calibri" w:eastAsia="Calibri" w:hAnsi="Calibri" w:cs="Times New Roman"/>
                <w:sz w:val="22"/>
                <w:szCs w:val="22"/>
                <w:vertAlign w:val="superscript"/>
              </w:rPr>
            </w:pPr>
            <w:r w:rsidRPr="00E63AD1">
              <w:rPr>
                <w:rFonts w:ascii="Calibri" w:eastAsia="Calibri" w:hAnsi="Calibri" w:cs="Times New Roman"/>
                <w:sz w:val="22"/>
                <w:szCs w:val="22"/>
              </w:rPr>
              <w:t>2014: 2,600 miles</w:t>
            </w:r>
            <w:r w:rsidRPr="00E63AD1">
              <w:rPr>
                <w:rFonts w:ascii="Calibri" w:eastAsia="Calibri" w:hAnsi="Calibri" w:cs="Times New Roman"/>
                <w:sz w:val="22"/>
                <w:szCs w:val="22"/>
                <w:vertAlign w:val="superscript"/>
              </w:rPr>
              <w:t>3</w:t>
            </w:r>
          </w:p>
          <w:p w:rsidR="00E63AD1" w:rsidRPr="00E63AD1" w:rsidRDefault="00E63AD1" w:rsidP="00E63AD1">
            <w:pPr>
              <w:rPr>
                <w:rFonts w:ascii="Calibri" w:eastAsia="Calibri" w:hAnsi="Calibri" w:cs="Times New Roman"/>
                <w:sz w:val="22"/>
                <w:szCs w:val="22"/>
              </w:rPr>
            </w:pPr>
          </w:p>
        </w:tc>
      </w:tr>
      <w:tr w:rsidR="00E63AD1" w:rsidRPr="00E63AD1" w:rsidTr="00E9264D">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Inappropriate development in the Green Belt (CS4)</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None unless specifically allocated by the LDF</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By allocating sites in the LDF to meet identified needs, pressures for </w:t>
            </w:r>
            <w:r w:rsidRPr="00E63AD1">
              <w:rPr>
                <w:rFonts w:ascii="Calibri" w:eastAsia="Calibri" w:hAnsi="Calibri" w:cs="Times New Roman"/>
                <w:sz w:val="22"/>
                <w:szCs w:val="22"/>
              </w:rPr>
              <w:lastRenderedPageBreak/>
              <w:t>speculative development on Green Belt or other greenfield land should be reduced.</w:t>
            </w:r>
          </w:p>
        </w:tc>
        <w:tc>
          <w:tcPr>
            <w:tcW w:w="2835" w:type="dxa"/>
            <w:shd w:val="clear" w:color="auto" w:fill="DAEEF3" w:themeFill="accent5" w:themeFillTint="33"/>
          </w:tcPr>
          <w:p w:rsidR="00E63AD1" w:rsidRPr="00E63AD1" w:rsidRDefault="00E9264D" w:rsidP="00E63AD1">
            <w:pPr>
              <w:rPr>
                <w:rFonts w:ascii="Calibri" w:eastAsia="Calibri" w:hAnsi="Calibri" w:cs="Times New Roman"/>
                <w:sz w:val="22"/>
                <w:szCs w:val="22"/>
              </w:rPr>
            </w:pPr>
            <w:r w:rsidRPr="00E9264D">
              <w:rPr>
                <w:rFonts w:ascii="Calibri" w:eastAsia="Calibri" w:hAnsi="Calibri" w:cs="Times New Roman"/>
                <w:sz w:val="22"/>
                <w:szCs w:val="22"/>
              </w:rPr>
              <w:lastRenderedPageBreak/>
              <w:t>See AMR Indicator 25</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of new dwelling completions on previously developed land (CS2)</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2009/14: 90+%</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2014/26: 75+%</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11</w:t>
            </w:r>
          </w:p>
        </w:tc>
      </w:tr>
      <w:tr w:rsidR="00E63AD1" w:rsidRPr="00E63AD1" w:rsidTr="00E63AD1">
        <w:tc>
          <w:tcPr>
            <w:tcW w:w="1384" w:type="dxa"/>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Employment developments on previously developed land (CS2)</w:t>
            </w:r>
          </w:p>
        </w:tc>
        <w:tc>
          <w:tcPr>
            <w:tcW w:w="1985"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trike/>
                <w:sz w:val="22"/>
                <w:szCs w:val="22"/>
              </w:rPr>
            </w:pPr>
            <w:r w:rsidRPr="00E63AD1">
              <w:rPr>
                <w:rFonts w:ascii="Calibri" w:eastAsia="Calibri" w:hAnsi="Calibri" w:cs="Times New Roman"/>
                <w:sz w:val="22"/>
                <w:szCs w:val="22"/>
              </w:rPr>
              <w:t xml:space="preserve">No development on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greenfield unless specifically allocated</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By allocating sites in the LDF to meet identified needs, pressures for speculative development on Green Belt or other greenfield land should be reduced.</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3</w:t>
            </w:r>
          </w:p>
        </w:tc>
      </w:tr>
      <w:tr w:rsidR="00E63AD1" w:rsidRPr="00E63AD1" w:rsidTr="00E63AD1">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16. / 17. / 19. Natural resources, waste generation and disposal,  energy efficiency and renewable energy</w:t>
            </w: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Water use per person per day</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Thames Water</w:t>
            </w:r>
          </w:p>
        </w:tc>
        <w:tc>
          <w:tcPr>
            <w:tcW w:w="2410" w:type="dxa"/>
          </w:tcPr>
          <w:p w:rsid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130 litres, from 164 litres in 2004</w:t>
            </w:r>
          </w:p>
          <w:p w:rsidR="009E3564" w:rsidRPr="00E63AD1" w:rsidRDefault="009E3564" w:rsidP="00E63AD1">
            <w:pPr>
              <w:rPr>
                <w:rFonts w:ascii="Calibri" w:eastAsia="Calibri" w:hAnsi="Calibri" w:cs="Times New Roman"/>
                <w:sz w:val="22"/>
                <w:szCs w:val="22"/>
              </w:rPr>
            </w:pP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South East Plan SA has identified water use as being a key problem in the South East.  </w:t>
            </w:r>
          </w:p>
          <w:p w:rsidR="00E63AD1" w:rsidRPr="00E63AD1" w:rsidRDefault="00E63AD1" w:rsidP="00E63AD1">
            <w:pPr>
              <w:rPr>
                <w:rFonts w:ascii="Calibri" w:eastAsia="Calibri" w:hAnsi="Calibri" w:cs="Times New Roman"/>
                <w:sz w:val="12"/>
                <w:szCs w:val="12"/>
              </w:rPr>
            </w:pP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Oxford’s Natural Resource Impact Analysis SPD sets out standards for new developments in terms of energy efficiency, renewable and low-carbon energy, water consumption and materials</w:t>
            </w: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9264D">
              <w:rPr>
                <w:rFonts w:ascii="Calibri" w:eastAsia="Calibri" w:hAnsi="Calibri" w:cs="Times New Roman"/>
                <w:sz w:val="22"/>
                <w:szCs w:val="22"/>
              </w:rPr>
              <w:t>Data unavailable at the time of publication</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Developments complying with NRIA requirements (CS9)</w:t>
            </w:r>
          </w:p>
        </w:tc>
        <w:tc>
          <w:tcPr>
            <w:tcW w:w="1985"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 100% compliance</w:t>
            </w:r>
          </w:p>
        </w:tc>
        <w:tc>
          <w:tcPr>
            <w:tcW w:w="2126"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NRIA minimum standard is 1 </w:t>
            </w:r>
            <w:proofErr w:type="spellStart"/>
            <w:r w:rsidRPr="00E63AD1">
              <w:rPr>
                <w:rFonts w:ascii="Calibri" w:eastAsia="Calibri" w:hAnsi="Calibri" w:cs="Times New Roman"/>
                <w:sz w:val="22"/>
                <w:szCs w:val="22"/>
              </w:rPr>
              <w:t>pt</w:t>
            </w:r>
            <w:proofErr w:type="spellEnd"/>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24</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Average % energy produced by on-site renewables in new developments (CS9)</w:t>
            </w:r>
          </w:p>
        </w:tc>
        <w:tc>
          <w:tcPr>
            <w:tcW w:w="1985" w:type="dxa"/>
            <w:vMerge/>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 on-site renewable energy from qualifying sites throughout the plan period</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24</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Residential waste per household (CS10)</w:t>
            </w:r>
          </w:p>
        </w:tc>
        <w:tc>
          <w:tcPr>
            <w:tcW w:w="1985" w:type="dxa"/>
            <w:vMerge w:val="restart"/>
          </w:tcPr>
          <w:p w:rsidR="00E63AD1" w:rsidRPr="00E63AD1" w:rsidRDefault="00E63AD1" w:rsidP="00E63AD1">
            <w:pPr>
              <w:spacing w:after="200"/>
              <w:rPr>
                <w:rFonts w:ascii="Calibri" w:eastAsia="Calibri" w:hAnsi="Calibri" w:cs="Times New Roman"/>
                <w:sz w:val="22"/>
                <w:szCs w:val="22"/>
              </w:rPr>
            </w:pPr>
            <w:r w:rsidRPr="00E63AD1">
              <w:rPr>
                <w:rFonts w:ascii="Calibri" w:eastAsia="Calibri" w:hAnsi="Calibri" w:cs="Times New Roman"/>
                <w:sz w:val="22"/>
                <w:szCs w:val="22"/>
              </w:rPr>
              <w:t>Oxfordshire Joint Municipal Waste Partnership</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2008/09 – 725kg</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2009/10 – 723 kg</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2010/11 – 715 kg</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val="restart"/>
          </w:tcPr>
          <w:p w:rsidR="00B6359D" w:rsidRPr="00E63AD1" w:rsidRDefault="00E63AD1" w:rsidP="00E63AD1">
            <w:pPr>
              <w:spacing w:after="200"/>
              <w:rPr>
                <w:rFonts w:ascii="Calibri" w:eastAsia="Calibri" w:hAnsi="Calibri" w:cs="Times New Roman"/>
                <w:sz w:val="22"/>
                <w:szCs w:val="22"/>
              </w:rPr>
            </w:pPr>
            <w:r w:rsidRPr="00E63AD1">
              <w:rPr>
                <w:rFonts w:ascii="Calibri" w:eastAsia="Calibri" w:hAnsi="Calibri" w:cs="Times New Roman"/>
                <w:sz w:val="22"/>
                <w:szCs w:val="22"/>
              </w:rPr>
              <w:t xml:space="preserve">Although the Core Strategy has no direct impact on waste generation and recycling, it has indirect impacts in terms of site layout, recycling of </w:t>
            </w:r>
            <w:r w:rsidRPr="00E63AD1">
              <w:rPr>
                <w:rFonts w:ascii="Calibri" w:eastAsia="Calibri" w:hAnsi="Calibri" w:cs="Times New Roman"/>
                <w:sz w:val="22"/>
                <w:szCs w:val="22"/>
              </w:rPr>
              <w:lastRenderedPageBreak/>
              <w:t>construction materials etc.</w:t>
            </w:r>
          </w:p>
        </w:tc>
        <w:tc>
          <w:tcPr>
            <w:tcW w:w="2835" w:type="dxa"/>
            <w:shd w:val="clear" w:color="auto" w:fill="DAEEF3" w:themeFill="accent5" w:themeFillTint="33"/>
          </w:tcPr>
          <w:p w:rsidR="00E63AD1" w:rsidRPr="00E63AD1" w:rsidRDefault="00E63AD1" w:rsidP="00E63AD1">
            <w:pPr>
              <w:spacing w:after="200"/>
              <w:rPr>
                <w:rFonts w:ascii="Calibri" w:eastAsia="Calibri" w:hAnsi="Calibri" w:cs="Times New Roman"/>
                <w:sz w:val="22"/>
                <w:szCs w:val="22"/>
              </w:rPr>
            </w:pPr>
            <w:r w:rsidRPr="00E63AD1">
              <w:rPr>
                <w:rFonts w:ascii="Calibri" w:eastAsia="Calibri" w:hAnsi="Calibri" w:cs="Times New Roman"/>
                <w:sz w:val="22"/>
                <w:szCs w:val="22"/>
              </w:rPr>
              <w:lastRenderedPageBreak/>
              <w:t>See AMR Indicator 26</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Rate of total household waste recycling and composting in </w:t>
            </w:r>
            <w:r w:rsidRPr="00E63AD1">
              <w:rPr>
                <w:rFonts w:ascii="Calibri" w:eastAsia="Calibri" w:hAnsi="Calibri" w:cs="Times New Roman"/>
                <w:sz w:val="22"/>
                <w:szCs w:val="22"/>
              </w:rPr>
              <w:lastRenderedPageBreak/>
              <w:t>Oxfordshire (CS10)</w:t>
            </w:r>
          </w:p>
          <w:p w:rsidR="00B6359D" w:rsidRDefault="00B6359D" w:rsidP="00E63AD1">
            <w:pPr>
              <w:rPr>
                <w:rFonts w:ascii="Calibri" w:eastAsia="Calibri" w:hAnsi="Calibri" w:cs="Times New Roman"/>
                <w:sz w:val="22"/>
                <w:szCs w:val="22"/>
              </w:rPr>
            </w:pPr>
          </w:p>
          <w:p w:rsidR="00B6359D" w:rsidRDefault="00B6359D" w:rsidP="00E63AD1">
            <w:pPr>
              <w:rPr>
                <w:rFonts w:ascii="Calibri" w:eastAsia="Calibri" w:hAnsi="Calibri" w:cs="Times New Roman"/>
                <w:sz w:val="22"/>
                <w:szCs w:val="22"/>
              </w:rPr>
            </w:pPr>
          </w:p>
          <w:p w:rsidR="00B6359D" w:rsidRPr="00E63AD1" w:rsidRDefault="00B6359D" w:rsidP="00E63AD1">
            <w:pPr>
              <w:rPr>
                <w:rFonts w:ascii="Calibri" w:eastAsia="Calibri" w:hAnsi="Calibri" w:cs="Times New Roman"/>
                <w:sz w:val="22"/>
                <w:szCs w:val="22"/>
              </w:rPr>
            </w:pPr>
          </w:p>
        </w:tc>
        <w:tc>
          <w:tcPr>
            <w:tcW w:w="1985" w:type="dxa"/>
            <w:vMerge/>
          </w:tcPr>
          <w:p w:rsidR="00E63AD1" w:rsidRPr="00E63AD1" w:rsidRDefault="00E63AD1" w:rsidP="00E63AD1">
            <w:pPr>
              <w:spacing w:after="200" w:line="276" w:lineRule="auto"/>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40%+ by 31 March 2010</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45%+ by 31 March 2015</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55%+ by 31 March 2020 </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spacing w:after="200" w:line="276" w:lineRule="auto"/>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spacing w:after="200" w:line="276" w:lineRule="auto"/>
              <w:rPr>
                <w:rFonts w:ascii="Calibri" w:eastAsia="Calibri" w:hAnsi="Calibri" w:cs="Times New Roman"/>
                <w:sz w:val="22"/>
                <w:szCs w:val="22"/>
              </w:rPr>
            </w:pPr>
            <w:r w:rsidRPr="00E63AD1">
              <w:rPr>
                <w:rFonts w:ascii="Calibri" w:eastAsia="Calibri" w:hAnsi="Calibri" w:cs="Times New Roman"/>
                <w:sz w:val="22"/>
                <w:szCs w:val="22"/>
              </w:rPr>
              <w:t>See AMR Indicator 26</w:t>
            </w:r>
          </w:p>
        </w:tc>
      </w:tr>
      <w:tr w:rsidR="00E63AD1" w:rsidRPr="00E63AD1" w:rsidTr="00E63AD1">
        <w:trPr>
          <w:trHeight w:val="320"/>
        </w:trPr>
        <w:tc>
          <w:tcPr>
            <w:tcW w:w="1384"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lastRenderedPageBreak/>
              <w:t>18. Water and soil quality</w:t>
            </w: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Quality of Oxford’s rivers</w:t>
            </w:r>
          </w:p>
          <w:p w:rsidR="00E63AD1" w:rsidRPr="00E63AD1" w:rsidRDefault="00E63AD1" w:rsidP="00E63AD1">
            <w:pPr>
              <w:rPr>
                <w:rFonts w:ascii="Calibri" w:eastAsia="Calibri" w:hAnsi="Calibri" w:cs="Times New Roman"/>
                <w:sz w:val="22"/>
                <w:szCs w:val="22"/>
              </w:rPr>
            </w:pP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Environment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Agency, every 6 years as part of RBMP</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Achievement of ‘good’ status by 2027 at the latest</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The Water Framework Directive requires all inland waters to achieve at least ‘good status’ by 2015, or if this is not possible, then 2021 or 2027.  SUDS are a key way of </w:t>
            </w:r>
            <w:r w:rsidR="00223F99" w:rsidRPr="00E63AD1">
              <w:rPr>
                <w:rFonts w:ascii="Calibri" w:eastAsia="Calibri" w:hAnsi="Calibri" w:cs="Times New Roman"/>
                <w:sz w:val="22"/>
                <w:szCs w:val="22"/>
              </w:rPr>
              <w:t>ach</w:t>
            </w:r>
            <w:r w:rsidR="00223F99">
              <w:rPr>
                <w:rFonts w:ascii="Calibri" w:eastAsia="Calibri" w:hAnsi="Calibri" w:cs="Times New Roman"/>
                <w:sz w:val="22"/>
                <w:szCs w:val="22"/>
              </w:rPr>
              <w:t>iev</w:t>
            </w:r>
            <w:r w:rsidR="00223F99" w:rsidRPr="00E63AD1">
              <w:rPr>
                <w:rFonts w:ascii="Calibri" w:eastAsia="Calibri" w:hAnsi="Calibri" w:cs="Times New Roman"/>
                <w:sz w:val="22"/>
                <w:szCs w:val="22"/>
              </w:rPr>
              <w:t>ing</w:t>
            </w:r>
            <w:r w:rsidRPr="00E63AD1">
              <w:rPr>
                <w:rFonts w:ascii="Calibri" w:eastAsia="Calibri" w:hAnsi="Calibri" w:cs="Times New Roman"/>
                <w:sz w:val="22"/>
                <w:szCs w:val="22"/>
              </w:rPr>
              <w:t xml:space="preserve"> this in an urban environment.</w:t>
            </w:r>
          </w:p>
        </w:tc>
        <w:tc>
          <w:tcPr>
            <w:tcW w:w="2835" w:type="dxa"/>
            <w:shd w:val="clear" w:color="auto" w:fill="DAEEF3" w:themeFill="accent5" w:themeFillTint="33"/>
          </w:tcPr>
          <w:p w:rsidR="00E63AD1" w:rsidRPr="00A475EC"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RBMP review due to be undertaken in 2015.</w:t>
            </w:r>
            <w:r w:rsidR="00A475EC">
              <w:rPr>
                <w:rFonts w:ascii="Calibri" w:eastAsia="Calibri" w:hAnsi="Calibri" w:cs="Times New Roman"/>
                <w:sz w:val="22"/>
                <w:szCs w:val="22"/>
                <w:vertAlign w:val="superscript"/>
              </w:rPr>
              <w:t>4</w:t>
            </w:r>
          </w:p>
        </w:tc>
      </w:tr>
      <w:tr w:rsidR="00E63AD1" w:rsidRPr="00E63AD1" w:rsidTr="00223F99">
        <w:trPr>
          <w:trHeight w:val="517"/>
        </w:trPr>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Incorporation of Sustainable Urban Drainage System in all relevant new developments</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w:t>
            </w:r>
          </w:p>
        </w:tc>
        <w:tc>
          <w:tcPr>
            <w:tcW w:w="2410" w:type="dxa"/>
            <w:shd w:val="clear" w:color="auto" w:fill="auto"/>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223F99" w:rsidRDefault="00223F99" w:rsidP="00223F99">
            <w:pPr>
              <w:rPr>
                <w:rFonts w:ascii="Calibri" w:eastAsia="Calibri" w:hAnsi="Calibri" w:cs="Times New Roman"/>
                <w:sz w:val="22"/>
                <w:szCs w:val="22"/>
              </w:rPr>
            </w:pPr>
            <w:r>
              <w:rPr>
                <w:rFonts w:ascii="Calibri" w:eastAsia="Calibri" w:hAnsi="Calibri" w:cs="Times New Roman"/>
                <w:sz w:val="22"/>
                <w:szCs w:val="22"/>
              </w:rPr>
              <w:t>There have not been enough major developments completed during the monitoring year to assess this. This indicator will be monitored in future years.</w:t>
            </w:r>
          </w:p>
        </w:tc>
      </w:tr>
      <w:tr w:rsidR="00E63AD1" w:rsidRPr="00E63AD1" w:rsidTr="00223F99">
        <w:trPr>
          <w:trHeight w:val="449"/>
        </w:trPr>
        <w:tc>
          <w:tcPr>
            <w:tcW w:w="1384" w:type="dxa"/>
            <w:vMerge w:val="restart"/>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20.</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Skilled </w:t>
            </w:r>
            <w:r w:rsidR="009E3564">
              <w:rPr>
                <w:rFonts w:ascii="Calibri" w:eastAsia="Calibri" w:hAnsi="Calibri" w:cs="Times New Roman"/>
                <w:sz w:val="22"/>
                <w:szCs w:val="22"/>
              </w:rPr>
              <w:t>workforce, high employment</w:t>
            </w:r>
            <w:r w:rsidRPr="00E63AD1">
              <w:rPr>
                <w:rFonts w:ascii="Calibri" w:eastAsia="Calibri" w:hAnsi="Calibri" w:cs="Times New Roman"/>
                <w:sz w:val="22"/>
                <w:szCs w:val="22"/>
              </w:rPr>
              <w:t xml:space="preserve"> economic growth, economic innovation</w:t>
            </w: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Total no. new Use Class B jobs created in Oxford (CS27)</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7500+ by 2026</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has an important role to play in the future prosperity of the area and further economic growth is envisaged to reflects its position</w:t>
            </w:r>
          </w:p>
        </w:tc>
        <w:tc>
          <w:tcPr>
            <w:tcW w:w="2835" w:type="dxa"/>
            <w:shd w:val="clear" w:color="auto" w:fill="DAEEF3" w:themeFill="accent5" w:themeFillTint="33"/>
          </w:tcPr>
          <w:p w:rsidR="00E63AD1" w:rsidRPr="00E63AD1" w:rsidRDefault="00443C6A" w:rsidP="0069418B">
            <w:pPr>
              <w:rPr>
                <w:rFonts w:ascii="Calibri" w:eastAsia="Calibri" w:hAnsi="Calibri" w:cs="Times New Roman"/>
                <w:sz w:val="22"/>
                <w:szCs w:val="22"/>
              </w:rPr>
            </w:pPr>
            <w:r>
              <w:rPr>
                <w:rFonts w:ascii="Calibri" w:eastAsia="Calibri" w:hAnsi="Calibri" w:cs="Times New Roman"/>
                <w:sz w:val="22"/>
                <w:szCs w:val="22"/>
              </w:rPr>
              <w:t>The Core Strategy</w:t>
            </w:r>
            <w:r w:rsidR="00D93D43">
              <w:rPr>
                <w:rFonts w:ascii="Calibri" w:eastAsia="Calibri" w:hAnsi="Calibri" w:cs="Times New Roman"/>
                <w:sz w:val="22"/>
                <w:szCs w:val="22"/>
              </w:rPr>
              <w:t xml:space="preserve"> baseline for total jobs in Oxford in 2010/11 was 101,900. Total jobs in Oxford has now risen to </w:t>
            </w:r>
            <w:r w:rsidR="00D93D43">
              <w:rPr>
                <w:rFonts w:ascii="Calibri" w:eastAsia="Calibri" w:hAnsi="Calibri" w:cs="Calibri"/>
                <w:noProof/>
                <w:color w:val="000000"/>
                <w:sz w:val="22"/>
                <w:szCs w:val="22"/>
                <w:lang w:eastAsia="en-GB"/>
              </w:rPr>
              <w:t>109,000</w:t>
            </w:r>
            <w:r w:rsidR="00D93D43">
              <w:rPr>
                <w:rFonts w:ascii="Calibri" w:eastAsia="Calibri" w:hAnsi="Calibri" w:cs="Calibri"/>
                <w:noProof/>
                <w:color w:val="000000"/>
                <w:sz w:val="22"/>
                <w:szCs w:val="22"/>
                <w:vertAlign w:val="superscript"/>
                <w:lang w:eastAsia="en-GB"/>
              </w:rPr>
              <w:t>5</w:t>
            </w:r>
            <w:r w:rsidR="00D93D43">
              <w:rPr>
                <w:rFonts w:ascii="Calibri" w:eastAsia="Calibri" w:hAnsi="Calibri" w:cs="Calibri"/>
                <w:noProof/>
                <w:color w:val="000000"/>
                <w:sz w:val="22"/>
                <w:szCs w:val="22"/>
                <w:lang w:eastAsia="en-GB"/>
              </w:rPr>
              <w:t>.  It is not possible to say how many of these jobs were generated by new Class B development</w:t>
            </w:r>
            <w:r w:rsidR="00DE78ED">
              <w:rPr>
                <w:rFonts w:ascii="Calibri" w:eastAsia="Calibri" w:hAnsi="Calibri" w:cs="Calibri"/>
                <w:noProof/>
                <w:color w:val="000000"/>
                <w:sz w:val="22"/>
                <w:szCs w:val="22"/>
                <w:lang w:eastAsia="en-GB"/>
              </w:rPr>
              <w:t>s</w:t>
            </w:r>
            <w:r w:rsidR="00D93D43">
              <w:rPr>
                <w:rFonts w:ascii="Calibri" w:eastAsia="Calibri" w:hAnsi="Calibri" w:cs="Calibri"/>
                <w:noProof/>
                <w:color w:val="000000"/>
                <w:sz w:val="22"/>
                <w:szCs w:val="22"/>
                <w:lang w:eastAsia="en-GB"/>
              </w:rPr>
              <w:t xml:space="preserve"> as the categories used by the Office for National Statistics</w:t>
            </w:r>
            <w:r w:rsidR="00980EDF">
              <w:rPr>
                <w:rFonts w:ascii="Calibri" w:eastAsia="Calibri" w:hAnsi="Calibri" w:cs="Calibri"/>
                <w:noProof/>
                <w:color w:val="000000"/>
                <w:sz w:val="22"/>
                <w:szCs w:val="22"/>
                <w:lang w:eastAsia="en-GB"/>
              </w:rPr>
              <w:t xml:space="preserve"> are not the same as the Use Classes Order</w:t>
            </w:r>
            <w:r w:rsidR="00D93D43">
              <w:rPr>
                <w:rFonts w:ascii="Calibri" w:eastAsia="Calibri" w:hAnsi="Calibri" w:cs="Calibri"/>
                <w:noProof/>
                <w:color w:val="000000"/>
                <w:sz w:val="22"/>
                <w:szCs w:val="22"/>
                <w:lang w:eastAsia="en-GB"/>
              </w:rPr>
              <w:t>.</w:t>
            </w:r>
          </w:p>
        </w:tc>
      </w:tr>
      <w:tr w:rsidR="00E63AD1" w:rsidRPr="00E63AD1" w:rsidTr="00223F99">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economically active</w:t>
            </w:r>
          </w:p>
        </w:tc>
        <w:tc>
          <w:tcPr>
            <w:tcW w:w="1985"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NOMIS, quarterly</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Increasing</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8D3825" w:rsidP="00E63AD1">
            <w:pPr>
              <w:rPr>
                <w:rFonts w:ascii="Calibri" w:eastAsia="Calibri" w:hAnsi="Calibri" w:cs="Times New Roman"/>
                <w:sz w:val="22"/>
                <w:szCs w:val="22"/>
              </w:rPr>
            </w:pPr>
            <w:r>
              <w:rPr>
                <w:rFonts w:ascii="Calibri" w:eastAsia="Calibri" w:hAnsi="Calibri" w:cs="Times New Roman"/>
                <w:sz w:val="22"/>
                <w:szCs w:val="22"/>
              </w:rPr>
              <w:t>78</w:t>
            </w:r>
            <w:r w:rsidR="00E63AD1" w:rsidRPr="00E63AD1">
              <w:rPr>
                <w:rFonts w:ascii="Calibri" w:eastAsia="Calibri" w:hAnsi="Calibri" w:cs="Times New Roman"/>
                <w:sz w:val="22"/>
                <w:szCs w:val="22"/>
              </w:rPr>
              <w:t>.1% of people aged 16-64</w:t>
            </w:r>
            <w:r>
              <w:rPr>
                <w:rFonts w:ascii="Calibri" w:eastAsia="Calibri" w:hAnsi="Calibri" w:cs="Times New Roman"/>
                <w:sz w:val="22"/>
                <w:szCs w:val="22"/>
              </w:rPr>
              <w:t xml:space="preserve"> in Oxford are classed as ‘economically active’</w:t>
            </w:r>
            <w:r w:rsidR="00E63AD1" w:rsidRPr="00E63AD1">
              <w:rPr>
                <w:rFonts w:ascii="Calibri" w:eastAsia="Calibri" w:hAnsi="Calibri" w:cs="Times New Roman"/>
                <w:sz w:val="22"/>
                <w:szCs w:val="22"/>
              </w:rPr>
              <w:t>.</w:t>
            </w:r>
            <w:r>
              <w:rPr>
                <w:rFonts w:ascii="Calibri" w:eastAsia="Calibri" w:hAnsi="Calibri" w:cs="Times New Roman"/>
                <w:sz w:val="22"/>
                <w:szCs w:val="22"/>
              </w:rPr>
              <w:t xml:space="preserve"> This shows a s</w:t>
            </w:r>
            <w:r w:rsidR="00E63AD1" w:rsidRPr="00E63AD1">
              <w:rPr>
                <w:rFonts w:ascii="Calibri" w:eastAsia="Calibri" w:hAnsi="Calibri" w:cs="Times New Roman"/>
                <w:sz w:val="22"/>
                <w:szCs w:val="22"/>
              </w:rPr>
              <w:t>l</w:t>
            </w:r>
            <w:r>
              <w:rPr>
                <w:rFonts w:ascii="Calibri" w:eastAsia="Calibri" w:hAnsi="Calibri" w:cs="Times New Roman"/>
                <w:sz w:val="22"/>
                <w:szCs w:val="22"/>
              </w:rPr>
              <w:t xml:space="preserve">ight increase when compared to the 2010/11 </w:t>
            </w:r>
            <w:r>
              <w:rPr>
                <w:rFonts w:ascii="Calibri" w:eastAsia="Calibri" w:hAnsi="Calibri" w:cs="Times New Roman"/>
                <w:sz w:val="22"/>
                <w:szCs w:val="22"/>
              </w:rPr>
              <w:lastRenderedPageBreak/>
              <w:t>baseline of 77.6% and is slightly above the national average of 77.4%. It is important to note that 60% of people in Oxford aged 16-64 who are classed as ‘economically inactive’ are students. This is significantly higher than the national average (26.1% of economically inactive people).</w:t>
            </w:r>
            <w:r w:rsidR="00D93D43">
              <w:rPr>
                <w:rFonts w:ascii="Calibri" w:eastAsia="Calibri" w:hAnsi="Calibri" w:cs="Times New Roman"/>
                <w:sz w:val="22"/>
                <w:szCs w:val="22"/>
                <w:vertAlign w:val="superscript"/>
              </w:rPr>
              <w:t>6</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New retail, office and leisure development in the </w:t>
            </w:r>
            <w:r w:rsidR="003161C9" w:rsidRPr="00E63AD1">
              <w:rPr>
                <w:rFonts w:ascii="Calibri" w:eastAsia="Calibri" w:hAnsi="Calibri" w:cs="Times New Roman"/>
                <w:sz w:val="22"/>
                <w:szCs w:val="22"/>
              </w:rPr>
              <w:t>city centre</w:t>
            </w:r>
            <w:r w:rsidRPr="00E63AD1">
              <w:rPr>
                <w:rFonts w:ascii="Calibri" w:eastAsia="Calibri" w:hAnsi="Calibri" w:cs="Times New Roman"/>
                <w:sz w:val="22"/>
                <w:szCs w:val="22"/>
              </w:rPr>
              <w:t xml:space="preserve"> and district centres</w:t>
            </w:r>
          </w:p>
        </w:tc>
        <w:tc>
          <w:tcPr>
            <w:tcW w:w="1985"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Oxford City Council, annual</w:t>
            </w: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As per targets set in the Core Strategy monitoring framework</w:t>
            </w:r>
          </w:p>
        </w:tc>
        <w:tc>
          <w:tcPr>
            <w:tcW w:w="2126" w:type="dxa"/>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See AMR Indicators  5 and 7 </w:t>
            </w:r>
          </w:p>
        </w:tc>
      </w:tr>
      <w:tr w:rsidR="00E63AD1" w:rsidRPr="00E63AD1" w:rsidTr="008618FB">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Average length of stay</w:t>
            </w:r>
          </w:p>
        </w:tc>
        <w:tc>
          <w:tcPr>
            <w:tcW w:w="1985" w:type="dxa"/>
            <w:vMerge w:val="restart"/>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 xml:space="preserve">Oxford City Council,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sporadic</w:t>
            </w: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Increasing</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val="restart"/>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Most sustainable tourists are those that stay longer and spend more</w:t>
            </w:r>
          </w:p>
        </w:tc>
        <w:tc>
          <w:tcPr>
            <w:tcW w:w="2835" w:type="dxa"/>
            <w:shd w:val="clear" w:color="auto" w:fill="DAEEF3" w:themeFill="accent5" w:themeFillTint="33"/>
          </w:tcPr>
          <w:p w:rsidR="00E63AD1" w:rsidRPr="00E63AD1" w:rsidRDefault="008618FB" w:rsidP="00E63AD1">
            <w:pPr>
              <w:rPr>
                <w:rFonts w:ascii="Calibri" w:eastAsia="Calibri" w:hAnsi="Calibri" w:cs="Times New Roman"/>
                <w:sz w:val="22"/>
                <w:szCs w:val="22"/>
              </w:rPr>
            </w:pPr>
            <w:r>
              <w:rPr>
                <w:rFonts w:ascii="Calibri" w:eastAsia="Calibri" w:hAnsi="Calibri" w:cs="Times New Roman"/>
                <w:sz w:val="22"/>
                <w:szCs w:val="22"/>
              </w:rPr>
              <w:t>Data unavailable at the time of publication.</w:t>
            </w:r>
          </w:p>
        </w:tc>
      </w:tr>
      <w:tr w:rsidR="00E63AD1" w:rsidRPr="00E63AD1" w:rsidTr="008618FB">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Average spend</w:t>
            </w:r>
          </w:p>
        </w:tc>
        <w:tc>
          <w:tcPr>
            <w:tcW w:w="1985" w:type="dxa"/>
            <w:vMerge/>
            <w:shd w:val="clear" w:color="auto" w:fill="auto"/>
          </w:tcPr>
          <w:p w:rsidR="00E63AD1" w:rsidRPr="00E63AD1" w:rsidRDefault="00E63AD1" w:rsidP="00E63AD1">
            <w:pPr>
              <w:rPr>
                <w:rFonts w:ascii="Calibri" w:eastAsia="Calibri" w:hAnsi="Calibri" w:cs="Times New Roman"/>
                <w:sz w:val="22"/>
                <w:szCs w:val="22"/>
              </w:rPr>
            </w:pPr>
          </w:p>
        </w:tc>
        <w:tc>
          <w:tcPr>
            <w:tcW w:w="2410" w:type="dxa"/>
            <w:shd w:val="clear" w:color="auto" w:fill="auto"/>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Increasing</w:t>
            </w:r>
          </w:p>
        </w:tc>
        <w:tc>
          <w:tcPr>
            <w:tcW w:w="2126" w:type="dxa"/>
            <w:shd w:val="clear" w:color="auto" w:fill="auto"/>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8618FB" w:rsidP="00E63AD1">
            <w:pPr>
              <w:rPr>
                <w:rFonts w:ascii="Calibri" w:eastAsia="Calibri" w:hAnsi="Calibri" w:cs="Times New Roman"/>
                <w:sz w:val="22"/>
                <w:szCs w:val="22"/>
              </w:rPr>
            </w:pPr>
            <w:r>
              <w:rPr>
                <w:rFonts w:ascii="Calibri" w:eastAsia="Calibri" w:hAnsi="Calibri" w:cs="Times New Roman"/>
                <w:sz w:val="22"/>
                <w:szCs w:val="22"/>
              </w:rPr>
              <w:t>Data unavailable at the time of publication.</w:t>
            </w:r>
          </w:p>
        </w:tc>
      </w:tr>
      <w:tr w:rsidR="00E63AD1" w:rsidRPr="00E63AD1" w:rsidTr="00E63AD1">
        <w:tc>
          <w:tcPr>
            <w:tcW w:w="1384" w:type="dxa"/>
            <w:vMerge/>
          </w:tcPr>
          <w:p w:rsidR="00E63AD1" w:rsidRPr="00E63AD1" w:rsidRDefault="00E63AD1" w:rsidP="00E63AD1">
            <w:pPr>
              <w:rPr>
                <w:rFonts w:ascii="Calibri" w:eastAsia="Calibri" w:hAnsi="Calibri" w:cs="Times New Roman"/>
                <w:sz w:val="22"/>
                <w:szCs w:val="22"/>
              </w:rPr>
            </w:pPr>
          </w:p>
        </w:tc>
        <w:tc>
          <w:tcPr>
            <w:tcW w:w="2126" w:type="dxa"/>
            <w:shd w:val="clear" w:color="auto" w:fill="FFFFFF"/>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Supply of short-stay accommodation (CS32)</w:t>
            </w:r>
          </w:p>
        </w:tc>
        <w:tc>
          <w:tcPr>
            <w:tcW w:w="1985" w:type="dxa"/>
            <w:vMerge/>
            <w:shd w:val="clear" w:color="auto" w:fill="auto"/>
          </w:tcPr>
          <w:p w:rsidR="00E63AD1" w:rsidRPr="00E63AD1" w:rsidRDefault="00E63AD1" w:rsidP="00E63AD1">
            <w:pPr>
              <w:rPr>
                <w:rFonts w:ascii="Calibri" w:eastAsia="Calibri" w:hAnsi="Calibri" w:cs="Times New Roman"/>
                <w:sz w:val="22"/>
                <w:szCs w:val="22"/>
              </w:rPr>
            </w:pPr>
          </w:p>
        </w:tc>
        <w:tc>
          <w:tcPr>
            <w:tcW w:w="2410" w:type="dxa"/>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Net increase</w:t>
            </w:r>
          </w:p>
        </w:tc>
        <w:tc>
          <w:tcPr>
            <w:tcW w:w="2126" w:type="dxa"/>
          </w:tcPr>
          <w:p w:rsidR="00E63AD1" w:rsidRPr="00E63AD1" w:rsidRDefault="00E63AD1" w:rsidP="00E63AD1">
            <w:pPr>
              <w:rPr>
                <w:rFonts w:ascii="Calibri" w:eastAsia="Calibri" w:hAnsi="Calibri" w:cs="Times New Roman"/>
                <w:sz w:val="22"/>
                <w:szCs w:val="22"/>
              </w:rPr>
            </w:pPr>
          </w:p>
        </w:tc>
        <w:tc>
          <w:tcPr>
            <w:tcW w:w="2410" w:type="dxa"/>
            <w:vMerge/>
          </w:tcPr>
          <w:p w:rsidR="00E63AD1" w:rsidRPr="00E63AD1" w:rsidRDefault="00E63AD1" w:rsidP="00E63AD1">
            <w:pPr>
              <w:rPr>
                <w:rFonts w:ascii="Calibri" w:eastAsia="Calibri" w:hAnsi="Calibri" w:cs="Times New Roman"/>
                <w:sz w:val="22"/>
                <w:szCs w:val="22"/>
              </w:rPr>
            </w:pPr>
          </w:p>
        </w:tc>
        <w:tc>
          <w:tcPr>
            <w:tcW w:w="2835" w:type="dxa"/>
            <w:shd w:val="clear" w:color="auto" w:fill="DAEEF3" w:themeFill="accent5" w:themeFillTint="33"/>
          </w:tcPr>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rPr>
              <w:t>See AMR Indicator 9</w:t>
            </w:r>
          </w:p>
        </w:tc>
      </w:tr>
    </w:tbl>
    <w:p w:rsidR="00E63AD1" w:rsidRPr="00E63AD1" w:rsidRDefault="00E63AD1" w:rsidP="00E63AD1">
      <w:pPr>
        <w:rPr>
          <w:rFonts w:ascii="Calibri" w:eastAsia="Calibri" w:hAnsi="Calibri" w:cs="Times New Roman"/>
          <w:sz w:val="22"/>
          <w:szCs w:val="22"/>
        </w:rPr>
      </w:pPr>
    </w:p>
    <w:p w:rsidR="00E63AD1" w:rsidRPr="00E63AD1" w:rsidRDefault="00E63AD1" w:rsidP="00E63AD1">
      <w:pPr>
        <w:rPr>
          <w:rFonts w:ascii="Calibri" w:eastAsia="Calibri" w:hAnsi="Calibri" w:cs="Times New Roman"/>
          <w:sz w:val="20"/>
          <w:szCs w:val="22"/>
        </w:rPr>
      </w:pPr>
      <w:r w:rsidRPr="00E63AD1">
        <w:rPr>
          <w:rFonts w:ascii="Calibri" w:eastAsia="Calibri" w:hAnsi="Calibri" w:cs="Times New Roman"/>
          <w:sz w:val="22"/>
          <w:szCs w:val="22"/>
          <w:vertAlign w:val="superscript"/>
        </w:rPr>
        <w:t>1</w:t>
      </w:r>
      <w:r w:rsidRPr="00E63AD1">
        <w:rPr>
          <w:rFonts w:ascii="Calibri" w:eastAsia="Calibri" w:hAnsi="Calibri" w:cs="Times New Roman"/>
          <w:sz w:val="22"/>
          <w:szCs w:val="22"/>
        </w:rPr>
        <w:t xml:space="preserve"> </w:t>
      </w:r>
      <w:r w:rsidRPr="00E63AD1">
        <w:rPr>
          <w:rFonts w:ascii="Calibri" w:eastAsia="Calibri" w:hAnsi="Calibri" w:cs="Times New Roman"/>
          <w:sz w:val="20"/>
          <w:szCs w:val="22"/>
        </w:rPr>
        <w:t>Natural England Website</w:t>
      </w:r>
      <w:r w:rsidRPr="00E63AD1">
        <w:rPr>
          <w:rFonts w:ascii="Calibri" w:eastAsia="Calibri" w:hAnsi="Calibri" w:cs="Times New Roman"/>
          <w:sz w:val="22"/>
          <w:szCs w:val="22"/>
        </w:rPr>
        <w:t xml:space="preserve"> </w:t>
      </w:r>
      <w:r w:rsidRPr="00E63AD1">
        <w:rPr>
          <w:rFonts w:ascii="Calibri" w:eastAsia="Calibri" w:hAnsi="Calibri" w:cs="Times New Roman"/>
          <w:sz w:val="20"/>
          <w:szCs w:val="22"/>
        </w:rPr>
        <w:t xml:space="preserve">[http://www.sssi.naturalengland.org.uk/special/sssi/unitlist.cfm?sssi_id=1000153] Accessed 7.08.2014 </w:t>
      </w:r>
    </w:p>
    <w:p w:rsidR="00E63AD1" w:rsidRPr="00E63AD1" w:rsidRDefault="00E63AD1" w:rsidP="00E63AD1">
      <w:pPr>
        <w:rPr>
          <w:rFonts w:ascii="Calibri" w:eastAsia="Calibri" w:hAnsi="Calibri" w:cs="Times New Roman"/>
          <w:sz w:val="22"/>
          <w:szCs w:val="22"/>
        </w:rPr>
      </w:pPr>
      <w:r w:rsidRPr="00E63AD1">
        <w:rPr>
          <w:rFonts w:ascii="Calibri" w:eastAsia="Calibri" w:hAnsi="Calibri" w:cs="Times New Roman"/>
          <w:sz w:val="22"/>
          <w:szCs w:val="22"/>
          <w:vertAlign w:val="superscript"/>
        </w:rPr>
        <w:t>2</w:t>
      </w:r>
      <w:r w:rsidRPr="00E63AD1">
        <w:rPr>
          <w:rFonts w:ascii="Calibri" w:eastAsia="Calibri" w:hAnsi="Calibri" w:cs="Times New Roman"/>
          <w:sz w:val="20"/>
          <w:szCs w:val="22"/>
        </w:rPr>
        <w:t xml:space="preserve"> Oxfordshire County Council (2006) ‘Oxfordshire Rights of Way Improvement Plan 2006-2014’</w:t>
      </w:r>
    </w:p>
    <w:p w:rsidR="00E63AD1" w:rsidRPr="00E63AD1" w:rsidRDefault="00E63AD1" w:rsidP="00E63AD1">
      <w:pPr>
        <w:rPr>
          <w:rFonts w:ascii="Calibri" w:eastAsia="Calibri" w:hAnsi="Calibri" w:cs="Times New Roman"/>
          <w:sz w:val="20"/>
          <w:szCs w:val="22"/>
        </w:rPr>
      </w:pPr>
      <w:r w:rsidRPr="00E63AD1">
        <w:rPr>
          <w:rFonts w:ascii="Calibri" w:eastAsia="Calibri" w:hAnsi="Calibri" w:cs="Times New Roman"/>
          <w:sz w:val="22"/>
          <w:szCs w:val="22"/>
          <w:vertAlign w:val="superscript"/>
        </w:rPr>
        <w:t>3</w:t>
      </w:r>
      <w:r w:rsidRPr="00E63AD1">
        <w:rPr>
          <w:rFonts w:ascii="Calibri" w:eastAsia="Calibri" w:hAnsi="Calibri" w:cs="Times New Roman"/>
          <w:sz w:val="22"/>
          <w:szCs w:val="22"/>
        </w:rPr>
        <w:t xml:space="preserve"> </w:t>
      </w:r>
      <w:r w:rsidRPr="00E63AD1">
        <w:rPr>
          <w:rFonts w:ascii="Calibri" w:eastAsia="Calibri" w:hAnsi="Calibri" w:cs="Times New Roman"/>
          <w:sz w:val="20"/>
          <w:szCs w:val="22"/>
        </w:rPr>
        <w:t>Oxfordshire County Council</w:t>
      </w:r>
      <w:r w:rsidRPr="00E63AD1">
        <w:rPr>
          <w:rFonts w:ascii="Calibri" w:eastAsia="Calibri" w:hAnsi="Calibri" w:cs="Times New Roman"/>
          <w:sz w:val="22"/>
          <w:szCs w:val="22"/>
        </w:rPr>
        <w:t xml:space="preserve"> (20014) ‘</w:t>
      </w:r>
      <w:r w:rsidRPr="00E63AD1">
        <w:rPr>
          <w:rFonts w:ascii="Calibri" w:eastAsia="Calibri" w:hAnsi="Calibri" w:cs="Times New Roman"/>
          <w:sz w:val="20"/>
          <w:szCs w:val="22"/>
        </w:rPr>
        <w:t>Consultation Draft Oxfordshire Rights of Way Management Plan 2014-24’</w:t>
      </w:r>
    </w:p>
    <w:p w:rsidR="00D93D43" w:rsidRDefault="00E63AD1" w:rsidP="00E63AD1">
      <w:pPr>
        <w:rPr>
          <w:rFonts w:ascii="Calibri" w:eastAsia="Calibri" w:hAnsi="Calibri" w:cs="Times New Roman"/>
          <w:sz w:val="20"/>
          <w:szCs w:val="22"/>
        </w:rPr>
      </w:pPr>
      <w:r w:rsidRPr="00E63AD1">
        <w:rPr>
          <w:rFonts w:ascii="Calibri" w:eastAsia="Calibri" w:hAnsi="Calibri" w:cs="Times New Roman"/>
          <w:sz w:val="20"/>
          <w:szCs w:val="22"/>
          <w:vertAlign w:val="superscript"/>
        </w:rPr>
        <w:t>4</w:t>
      </w:r>
      <w:r w:rsidRPr="00E63AD1">
        <w:rPr>
          <w:rFonts w:ascii="Calibri" w:eastAsia="Calibri" w:hAnsi="Calibri" w:cs="Times New Roman"/>
          <w:sz w:val="20"/>
          <w:szCs w:val="22"/>
        </w:rPr>
        <w:t xml:space="preserve"> DEFRA &amp; Environment Agency (2009) ‘Water for life and Livelihoods: River Basin Management Plan Thames River Basin District</w:t>
      </w:r>
      <w:r w:rsidR="00D93D43">
        <w:rPr>
          <w:rFonts w:ascii="Calibri" w:eastAsia="Calibri" w:hAnsi="Calibri" w:cs="Times New Roman"/>
          <w:sz w:val="20"/>
          <w:szCs w:val="22"/>
        </w:rPr>
        <w:t>’</w:t>
      </w:r>
    </w:p>
    <w:p w:rsidR="00E63AD1" w:rsidRPr="00D93D43" w:rsidRDefault="00D93D43" w:rsidP="00E63AD1">
      <w:pPr>
        <w:rPr>
          <w:rFonts w:ascii="Calibri" w:eastAsia="Calibri" w:hAnsi="Calibri" w:cs="Times New Roman"/>
          <w:sz w:val="20"/>
          <w:szCs w:val="22"/>
        </w:rPr>
      </w:pPr>
      <w:r>
        <w:rPr>
          <w:rFonts w:ascii="Calibri" w:eastAsia="Calibri" w:hAnsi="Calibri" w:cs="Times New Roman"/>
          <w:sz w:val="20"/>
          <w:szCs w:val="22"/>
          <w:vertAlign w:val="superscript"/>
        </w:rPr>
        <w:t>5</w:t>
      </w:r>
      <w:r>
        <w:rPr>
          <w:rFonts w:ascii="Calibri" w:eastAsia="Calibri" w:hAnsi="Calibri" w:cs="Times New Roman"/>
          <w:sz w:val="20"/>
          <w:szCs w:val="22"/>
        </w:rPr>
        <w:t xml:space="preserve"> </w:t>
      </w:r>
      <w:proofErr w:type="gramStart"/>
      <w:r>
        <w:rPr>
          <w:rFonts w:asciiTheme="minorHAnsi" w:hAnsiTheme="minorHAnsi" w:cstheme="minorHAnsi"/>
          <w:sz w:val="20"/>
          <w:szCs w:val="22"/>
        </w:rPr>
        <w:t>Office</w:t>
      </w:r>
      <w:proofErr w:type="gramEnd"/>
      <w:r>
        <w:rPr>
          <w:rFonts w:asciiTheme="minorHAnsi" w:hAnsiTheme="minorHAnsi" w:cstheme="minorHAnsi"/>
          <w:sz w:val="20"/>
          <w:szCs w:val="22"/>
        </w:rPr>
        <w:t xml:space="preserve"> for National Statistic (2011) </w:t>
      </w:r>
      <w:r w:rsidRPr="00F64447">
        <w:rPr>
          <w:rFonts w:asciiTheme="minorHAnsi" w:hAnsiTheme="minorHAnsi" w:cstheme="minorHAnsi"/>
          <w:sz w:val="20"/>
          <w:szCs w:val="22"/>
        </w:rPr>
        <w:t>Business Register and Employment Survey</w:t>
      </w:r>
    </w:p>
    <w:p w:rsidR="00E63AD1" w:rsidRPr="00C2613A" w:rsidRDefault="00D93D43" w:rsidP="00F1483B">
      <w:pPr>
        <w:rPr>
          <w:rFonts w:ascii="Calibri" w:eastAsia="Calibri" w:hAnsi="Calibri" w:cs="Times New Roman"/>
          <w:sz w:val="20"/>
          <w:szCs w:val="22"/>
        </w:rPr>
        <w:sectPr w:rsidR="00E63AD1" w:rsidRPr="00C2613A" w:rsidSect="00E63AD1">
          <w:pgSz w:w="16838" w:h="11906" w:orient="landscape"/>
          <w:pgMar w:top="720" w:right="720" w:bottom="720" w:left="720" w:header="708" w:footer="708" w:gutter="0"/>
          <w:cols w:space="708"/>
          <w:docGrid w:linePitch="360"/>
        </w:sectPr>
      </w:pPr>
      <w:r>
        <w:rPr>
          <w:rFonts w:ascii="Calibri" w:eastAsia="Calibri" w:hAnsi="Calibri" w:cs="Times New Roman"/>
          <w:sz w:val="20"/>
          <w:szCs w:val="22"/>
          <w:vertAlign w:val="superscript"/>
        </w:rPr>
        <w:t>6</w:t>
      </w:r>
      <w:r w:rsidR="00E63AD1" w:rsidRPr="00E63AD1">
        <w:rPr>
          <w:rFonts w:ascii="Calibri" w:eastAsia="Calibri" w:hAnsi="Calibri" w:cs="Times New Roman"/>
          <w:sz w:val="20"/>
          <w:szCs w:val="22"/>
        </w:rPr>
        <w:t xml:space="preserve"> </w:t>
      </w:r>
      <w:r>
        <w:rPr>
          <w:rFonts w:ascii="Calibri" w:eastAsia="Calibri" w:hAnsi="Calibri" w:cs="Times New Roman"/>
          <w:sz w:val="20"/>
          <w:szCs w:val="22"/>
        </w:rPr>
        <w:t>Office for</w:t>
      </w:r>
      <w:r w:rsidR="008D3825">
        <w:rPr>
          <w:rFonts w:ascii="Calibri" w:eastAsia="Calibri" w:hAnsi="Calibri" w:cs="Times New Roman"/>
          <w:sz w:val="20"/>
          <w:szCs w:val="22"/>
        </w:rPr>
        <w:t xml:space="preserve"> National Statistics: </w:t>
      </w:r>
      <w:r w:rsidR="00E63AD1" w:rsidRPr="00E63AD1">
        <w:rPr>
          <w:rFonts w:ascii="Calibri" w:eastAsia="Calibri" w:hAnsi="Calibri" w:cs="Times New Roman"/>
          <w:sz w:val="20"/>
          <w:szCs w:val="22"/>
        </w:rPr>
        <w:t>NOMIS Official Labour Market Sta</w:t>
      </w:r>
      <w:r w:rsidR="00213F1E">
        <w:rPr>
          <w:rFonts w:ascii="Calibri" w:eastAsia="Calibri" w:hAnsi="Calibri" w:cs="Times New Roman"/>
          <w:sz w:val="20"/>
          <w:szCs w:val="22"/>
        </w:rPr>
        <w:t>tistics April 2013 - March 201</w:t>
      </w:r>
    </w:p>
    <w:p w:rsidR="00E2477E" w:rsidRPr="00F02652" w:rsidRDefault="00E2477E" w:rsidP="00E2477E">
      <w:pPr>
        <w:rPr>
          <w:rFonts w:asciiTheme="minorHAnsi" w:hAnsiTheme="minorHAnsi" w:cstheme="minorHAnsi"/>
          <w:b/>
          <w:sz w:val="28"/>
        </w:rPr>
      </w:pPr>
      <w:r w:rsidRPr="00F02652">
        <w:rPr>
          <w:rFonts w:asciiTheme="minorHAnsi" w:hAnsiTheme="minorHAnsi" w:cstheme="minorHAnsi"/>
          <w:b/>
          <w:sz w:val="28"/>
        </w:rPr>
        <w:lastRenderedPageBreak/>
        <w:t>Appendix 2: Sites and Housing Plan Monitoring</w:t>
      </w:r>
    </w:p>
    <w:p w:rsidR="00E2477E" w:rsidRPr="001769D7" w:rsidRDefault="00E2477E" w:rsidP="00E2477E">
      <w:pPr>
        <w:rPr>
          <w:rFonts w:asciiTheme="minorHAnsi" w:hAnsiTheme="minorHAnsi" w:cstheme="minorHAnsi"/>
          <w:sz w:val="22"/>
        </w:rPr>
      </w:pPr>
    </w:p>
    <w:tbl>
      <w:tblPr>
        <w:tblStyle w:val="TableGrid"/>
        <w:tblW w:w="0" w:type="auto"/>
        <w:tblLook w:val="04A0" w:firstRow="1" w:lastRow="0" w:firstColumn="1" w:lastColumn="0" w:noHBand="0" w:noVBand="1"/>
      </w:tblPr>
      <w:tblGrid>
        <w:gridCol w:w="965"/>
        <w:gridCol w:w="1668"/>
        <w:gridCol w:w="3151"/>
        <w:gridCol w:w="3458"/>
      </w:tblGrid>
      <w:tr w:rsidR="00E2477E" w:rsidRPr="001769D7" w:rsidTr="00D71D7D">
        <w:tc>
          <w:tcPr>
            <w:tcW w:w="959" w:type="dxa"/>
            <w:shd w:val="clear" w:color="auto" w:fill="31849B" w:themeFill="accent5" w:themeFillShade="BF"/>
          </w:tcPr>
          <w:p w:rsidR="00E2477E" w:rsidRPr="00D71D7D" w:rsidRDefault="00E2477E" w:rsidP="00D71D7D">
            <w:pPr>
              <w:jc w:val="center"/>
              <w:rPr>
                <w:rFonts w:asciiTheme="minorHAnsi" w:hAnsiTheme="minorHAnsi" w:cstheme="minorHAnsi"/>
                <w:b/>
                <w:color w:val="FFFFFF" w:themeColor="background1"/>
                <w:sz w:val="22"/>
              </w:rPr>
            </w:pPr>
            <w:r w:rsidRPr="00D71D7D">
              <w:rPr>
                <w:rFonts w:asciiTheme="minorHAnsi" w:hAnsiTheme="minorHAnsi" w:cstheme="minorHAnsi"/>
                <w:b/>
                <w:color w:val="FFFFFF" w:themeColor="background1"/>
                <w:sz w:val="22"/>
              </w:rPr>
              <w:t>Policy Number</w:t>
            </w:r>
          </w:p>
        </w:tc>
        <w:tc>
          <w:tcPr>
            <w:tcW w:w="1276" w:type="dxa"/>
            <w:shd w:val="clear" w:color="auto" w:fill="31849B" w:themeFill="accent5" w:themeFillShade="BF"/>
          </w:tcPr>
          <w:p w:rsidR="00E2477E" w:rsidRPr="00D71D7D" w:rsidRDefault="00E2477E" w:rsidP="00D71D7D">
            <w:pPr>
              <w:jc w:val="center"/>
              <w:rPr>
                <w:rFonts w:asciiTheme="minorHAnsi" w:hAnsiTheme="minorHAnsi" w:cstheme="minorHAnsi"/>
                <w:b/>
                <w:color w:val="FFFFFF" w:themeColor="background1"/>
                <w:sz w:val="22"/>
              </w:rPr>
            </w:pPr>
            <w:r w:rsidRPr="00D71D7D">
              <w:rPr>
                <w:rFonts w:asciiTheme="minorHAnsi" w:hAnsiTheme="minorHAnsi" w:cstheme="minorHAnsi"/>
                <w:b/>
                <w:color w:val="FFFFFF" w:themeColor="background1"/>
                <w:sz w:val="22"/>
              </w:rPr>
              <w:t>Policy Title</w:t>
            </w:r>
          </w:p>
        </w:tc>
        <w:tc>
          <w:tcPr>
            <w:tcW w:w="3503" w:type="dxa"/>
            <w:shd w:val="clear" w:color="auto" w:fill="31849B" w:themeFill="accent5" w:themeFillShade="BF"/>
          </w:tcPr>
          <w:p w:rsidR="00E2477E" w:rsidRPr="00D71D7D" w:rsidRDefault="00E2477E" w:rsidP="00D71D7D">
            <w:pPr>
              <w:jc w:val="center"/>
              <w:rPr>
                <w:rFonts w:asciiTheme="minorHAnsi" w:hAnsiTheme="minorHAnsi" w:cstheme="minorHAnsi"/>
                <w:b/>
                <w:color w:val="FFFFFF" w:themeColor="background1"/>
                <w:sz w:val="22"/>
              </w:rPr>
            </w:pPr>
            <w:r w:rsidRPr="00D71D7D">
              <w:rPr>
                <w:rFonts w:asciiTheme="minorHAnsi" w:hAnsiTheme="minorHAnsi" w:cstheme="minorHAnsi"/>
                <w:b/>
                <w:color w:val="FFFFFF" w:themeColor="background1"/>
                <w:sz w:val="22"/>
              </w:rPr>
              <w:t>Monitoring Target</w:t>
            </w:r>
          </w:p>
        </w:tc>
        <w:tc>
          <w:tcPr>
            <w:tcW w:w="3504" w:type="dxa"/>
            <w:shd w:val="clear" w:color="auto" w:fill="31849B" w:themeFill="accent5" w:themeFillShade="BF"/>
          </w:tcPr>
          <w:p w:rsidR="00E2477E" w:rsidRPr="00D71D7D" w:rsidRDefault="00E2477E" w:rsidP="00D71D7D">
            <w:pPr>
              <w:jc w:val="center"/>
              <w:rPr>
                <w:rFonts w:asciiTheme="minorHAnsi" w:hAnsiTheme="minorHAnsi" w:cstheme="minorHAnsi"/>
                <w:b/>
                <w:color w:val="FFFFFF" w:themeColor="background1"/>
                <w:sz w:val="22"/>
              </w:rPr>
            </w:pPr>
            <w:r w:rsidRPr="00D71D7D">
              <w:rPr>
                <w:rFonts w:asciiTheme="minorHAnsi" w:hAnsiTheme="minorHAnsi" w:cstheme="minorHAnsi"/>
                <w:b/>
                <w:color w:val="FFFFFF" w:themeColor="background1"/>
                <w:sz w:val="22"/>
              </w:rPr>
              <w:t>Monitoring 2013/14</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Changes of use to existing homes</w:t>
            </w:r>
          </w:p>
        </w:tc>
        <w:tc>
          <w:tcPr>
            <w:tcW w:w="3503" w:type="dxa"/>
            <w:shd w:val="clear" w:color="auto" w:fill="auto"/>
          </w:tcPr>
          <w:p w:rsidR="00E2477E" w:rsidRPr="00FD2E3F" w:rsidRDefault="00E2477E" w:rsidP="009B6DBE">
            <w:pPr>
              <w:rPr>
                <w:rFonts w:asciiTheme="minorHAnsi" w:hAnsiTheme="minorHAnsi" w:cstheme="minorHAnsi"/>
                <w:sz w:val="22"/>
              </w:rPr>
            </w:pPr>
            <w:r w:rsidRPr="00FD2E3F">
              <w:rPr>
                <w:rFonts w:asciiTheme="minorHAnsi" w:hAnsiTheme="minorHAnsi" w:cstheme="minorHAnsi"/>
                <w:sz w:val="22"/>
              </w:rPr>
              <w:t xml:space="preserve">100% of planning permissions granted in Oxford to result in no net loss of a whole self-contained residential unit to any other use. </w:t>
            </w:r>
            <w:r w:rsidRPr="00485031">
              <w:rPr>
                <w:rFonts w:asciiTheme="minorHAnsi" w:hAnsiTheme="minorHAnsi" w:cstheme="minorHAnsi"/>
                <w:sz w:val="22"/>
              </w:rPr>
              <w:t xml:space="preserve">(AMR to report only on number of known cases </w:t>
            </w:r>
            <w:r w:rsidRPr="00485031">
              <w:rPr>
                <w:rFonts w:asciiTheme="minorHAnsi" w:hAnsiTheme="minorHAnsi" w:cstheme="minorHAnsi"/>
                <w:bCs/>
                <w:sz w:val="22"/>
              </w:rPr>
              <w:t>not</w:t>
            </w:r>
            <w:r w:rsidRPr="00485031">
              <w:rPr>
                <w:rFonts w:asciiTheme="minorHAnsi" w:hAnsiTheme="minorHAnsi" w:cstheme="minorHAnsi"/>
                <w:sz w:val="22"/>
              </w:rPr>
              <w:t xml:space="preserve"> complying with the policy</w:t>
            </w:r>
            <w:r w:rsidR="00DE78ED">
              <w:rPr>
                <w:rFonts w:asciiTheme="minorHAnsi" w:hAnsiTheme="minorHAnsi" w:cstheme="minorHAnsi"/>
                <w:sz w:val="22"/>
              </w:rPr>
              <w:t>.</w:t>
            </w:r>
            <w:r w:rsidRPr="00485031">
              <w:rPr>
                <w:rFonts w:asciiTheme="minorHAnsi" w:hAnsiTheme="minorHAnsi" w:cstheme="minorHAnsi"/>
                <w:sz w:val="22"/>
              </w:rPr>
              <w:t>)</w:t>
            </w:r>
          </w:p>
        </w:tc>
        <w:tc>
          <w:tcPr>
            <w:tcW w:w="3504" w:type="dxa"/>
          </w:tcPr>
          <w:p w:rsidR="00264603" w:rsidRPr="00485031" w:rsidRDefault="00485031" w:rsidP="009B6DBE">
            <w:pPr>
              <w:rPr>
                <w:rFonts w:asciiTheme="minorHAnsi" w:hAnsiTheme="minorHAnsi" w:cstheme="minorHAnsi"/>
                <w:sz w:val="22"/>
              </w:rPr>
            </w:pPr>
            <w:r w:rsidRPr="00485031">
              <w:rPr>
                <w:rFonts w:asciiTheme="minorHAnsi" w:hAnsiTheme="minorHAnsi" w:cstheme="minorHAnsi"/>
                <w:sz w:val="22"/>
              </w:rPr>
              <w:t>5</w:t>
            </w:r>
            <w:r w:rsidR="00374EAC" w:rsidRPr="00485031">
              <w:rPr>
                <w:rFonts w:asciiTheme="minorHAnsi" w:hAnsiTheme="minorHAnsi" w:cstheme="minorHAnsi"/>
                <w:sz w:val="22"/>
              </w:rPr>
              <w:t xml:space="preserve"> planning permissions were granted in 2013/14 that</w:t>
            </w:r>
            <w:r w:rsidRPr="00485031">
              <w:rPr>
                <w:rFonts w:asciiTheme="minorHAnsi" w:hAnsiTheme="minorHAnsi" w:cstheme="minorHAnsi"/>
                <w:sz w:val="22"/>
              </w:rPr>
              <w:t xml:space="preserve"> would</w:t>
            </w:r>
            <w:r w:rsidR="00374EAC" w:rsidRPr="00485031">
              <w:rPr>
                <w:rFonts w:asciiTheme="minorHAnsi" w:hAnsiTheme="minorHAnsi" w:cstheme="minorHAnsi"/>
                <w:sz w:val="22"/>
              </w:rPr>
              <w:t xml:space="preserve"> result in the net loss of a whole self-contained residential unit.</w:t>
            </w:r>
            <w:r w:rsidR="0058441A">
              <w:rPr>
                <w:rFonts w:asciiTheme="minorHAnsi" w:hAnsiTheme="minorHAnsi" w:cstheme="minorHAnsi"/>
                <w:sz w:val="22"/>
              </w:rPr>
              <w:t xml:space="preserve"> </w:t>
            </w:r>
            <w:r w:rsidRPr="0058441A">
              <w:rPr>
                <w:rFonts w:asciiTheme="minorHAnsi" w:hAnsiTheme="minorHAnsi" w:cstheme="minorHAnsi"/>
                <w:sz w:val="22"/>
              </w:rPr>
              <w:t>4 of these applications were for change</w:t>
            </w:r>
            <w:r w:rsidR="0058441A">
              <w:rPr>
                <w:rFonts w:asciiTheme="minorHAnsi" w:hAnsiTheme="minorHAnsi" w:cstheme="minorHAnsi"/>
                <w:sz w:val="22"/>
              </w:rPr>
              <w:t>s</w:t>
            </w:r>
            <w:r w:rsidRPr="0058441A">
              <w:rPr>
                <w:rFonts w:asciiTheme="minorHAnsi" w:hAnsiTheme="minorHAnsi" w:cstheme="minorHAnsi"/>
                <w:sz w:val="22"/>
              </w:rPr>
              <w:t xml:space="preserve"> of use from C3 residential to C4 HMO.</w:t>
            </w:r>
            <w:r w:rsidRPr="00485031">
              <w:rPr>
                <w:rFonts w:asciiTheme="minorHAnsi" w:hAnsiTheme="minorHAnsi" w:cstheme="minorHAnsi"/>
                <w:sz w:val="22"/>
              </w:rPr>
              <w:t xml:space="preserve"> </w:t>
            </w:r>
            <w:r w:rsidR="0058441A">
              <w:rPr>
                <w:rFonts w:asciiTheme="minorHAnsi" w:hAnsiTheme="minorHAnsi" w:cstheme="minorHAnsi"/>
                <w:sz w:val="22"/>
              </w:rPr>
              <w:t xml:space="preserve">This is not considered to be a permanent loss of a dwelling as the unit is still in residential use and can convert back to a single residential unit at any time without requiring planning permission. </w:t>
            </w:r>
            <w:r w:rsidRPr="00485031">
              <w:rPr>
                <w:rFonts w:asciiTheme="minorHAnsi" w:hAnsiTheme="minorHAnsi" w:cstheme="minorHAnsi"/>
                <w:sz w:val="22"/>
              </w:rPr>
              <w:t>1 a</w:t>
            </w:r>
            <w:r w:rsidR="00374EAC" w:rsidRPr="00485031">
              <w:rPr>
                <w:rFonts w:asciiTheme="minorHAnsi" w:hAnsiTheme="minorHAnsi" w:cstheme="minorHAnsi"/>
                <w:sz w:val="22"/>
              </w:rPr>
              <w:t xml:space="preserve">pplication </w:t>
            </w:r>
            <w:r w:rsidRPr="00485031">
              <w:rPr>
                <w:rFonts w:asciiTheme="minorHAnsi" w:hAnsiTheme="minorHAnsi" w:cstheme="minorHAnsi"/>
                <w:sz w:val="22"/>
              </w:rPr>
              <w:t>(</w:t>
            </w:r>
            <w:r w:rsidR="00374EAC" w:rsidRPr="00485031">
              <w:rPr>
                <w:rFonts w:asciiTheme="minorHAnsi" w:hAnsiTheme="minorHAnsi" w:cstheme="minorHAnsi"/>
                <w:sz w:val="22"/>
              </w:rPr>
              <w:t>13/01146/FUL</w:t>
            </w:r>
            <w:r w:rsidRPr="00485031">
              <w:rPr>
                <w:rFonts w:asciiTheme="minorHAnsi" w:hAnsiTheme="minorHAnsi" w:cstheme="minorHAnsi"/>
                <w:sz w:val="22"/>
              </w:rPr>
              <w:t xml:space="preserve">) was for the conversion of two adjoining dwellings into one residential unit. </w:t>
            </w:r>
            <w:r w:rsidR="00374EAC" w:rsidRPr="00485031">
              <w:rPr>
                <w:rFonts w:asciiTheme="minorHAnsi" w:hAnsiTheme="minorHAnsi" w:cstheme="minorHAnsi"/>
                <w:sz w:val="22"/>
              </w:rPr>
              <w:t>The Council report states: “The proposals will result in the loss of a dwelling house, however no change of use is proposed and the houses could be converted to one dwelling without the need for planning permission.”</w:t>
            </w:r>
          </w:p>
          <w:p w:rsidR="00485031" w:rsidRPr="00172137" w:rsidRDefault="00485031" w:rsidP="009B6DBE">
            <w:pPr>
              <w:rPr>
                <w:rFonts w:asciiTheme="minorHAnsi" w:hAnsiTheme="minorHAnsi" w:cstheme="minorHAnsi"/>
                <w:color w:val="FF0000"/>
                <w:sz w:val="22"/>
              </w:rPr>
            </w:pP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HP2</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Accessible and adaptable homes</w:t>
            </w:r>
          </w:p>
        </w:tc>
        <w:tc>
          <w:tcPr>
            <w:tcW w:w="3503" w:type="dxa"/>
          </w:tcPr>
          <w:p w:rsidR="00E2477E" w:rsidRPr="00FD2E3F" w:rsidRDefault="00E2477E" w:rsidP="009B6DBE">
            <w:pPr>
              <w:rPr>
                <w:rFonts w:asciiTheme="minorHAnsi" w:hAnsiTheme="minorHAnsi" w:cstheme="minorHAnsi"/>
                <w:sz w:val="22"/>
              </w:rPr>
            </w:pPr>
            <w:r w:rsidRPr="00FD2E3F">
              <w:rPr>
                <w:rFonts w:asciiTheme="minorHAnsi" w:hAnsiTheme="minorHAnsi" w:cstheme="minorHAnsi"/>
                <w:sz w:val="22"/>
              </w:rPr>
              <w:t>100% of approved planning applications for new home(s) to be endorsed by Oxford City Council Access Officer. (Only developments of 4 or more homes (gross) to be</w:t>
            </w:r>
            <w:r w:rsidR="00DE78ED">
              <w:rPr>
                <w:rFonts w:asciiTheme="minorHAnsi" w:hAnsiTheme="minorHAnsi" w:cstheme="minorHAnsi"/>
                <w:sz w:val="22"/>
              </w:rPr>
              <w:t xml:space="preserve"> m</w:t>
            </w:r>
            <w:r w:rsidRPr="00FD2E3F">
              <w:rPr>
                <w:rFonts w:asciiTheme="minorHAnsi" w:hAnsiTheme="minorHAnsi" w:cstheme="minorHAnsi"/>
                <w:sz w:val="22"/>
              </w:rPr>
              <w:t>onitored</w:t>
            </w:r>
            <w:r w:rsidR="00DE78ED">
              <w:rPr>
                <w:rFonts w:asciiTheme="minorHAnsi" w:hAnsiTheme="minorHAnsi" w:cstheme="minorHAnsi"/>
                <w:sz w:val="22"/>
              </w:rPr>
              <w:t>.</w:t>
            </w:r>
            <w:r w:rsidRPr="00FD2E3F">
              <w:rPr>
                <w:rFonts w:asciiTheme="minorHAnsi" w:hAnsiTheme="minorHAnsi" w:cstheme="minorHAnsi"/>
                <w:sz w:val="22"/>
              </w:rPr>
              <w:t>)</w:t>
            </w:r>
          </w:p>
        </w:tc>
        <w:tc>
          <w:tcPr>
            <w:tcW w:w="3504" w:type="dxa"/>
          </w:tcPr>
          <w:p w:rsidR="00E2477E" w:rsidRPr="001769D7" w:rsidRDefault="00E2477E" w:rsidP="009B6DBE">
            <w:pPr>
              <w:rPr>
                <w:rFonts w:asciiTheme="minorHAnsi" w:hAnsiTheme="minorHAnsi" w:cstheme="minorHAnsi"/>
                <w:sz w:val="22"/>
              </w:rPr>
            </w:pPr>
            <w:r>
              <w:rPr>
                <w:rFonts w:asciiTheme="minorHAnsi" w:hAnsiTheme="minorHAnsi" w:cstheme="minorHAnsi"/>
                <w:sz w:val="22"/>
              </w:rPr>
              <w:t>This monitoring target is no longer relevant as Oxford City Council does not have an Access Officer.</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HP3</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Affordable homes from general housing</w:t>
            </w:r>
          </w:p>
        </w:tc>
        <w:tc>
          <w:tcPr>
            <w:tcW w:w="3503" w:type="dxa"/>
          </w:tcPr>
          <w:p w:rsidR="00E2477E" w:rsidRPr="00FD2E3F" w:rsidRDefault="00E2477E" w:rsidP="009B6DBE">
            <w:pPr>
              <w:rPr>
                <w:rFonts w:asciiTheme="minorHAnsi" w:hAnsiTheme="minorHAnsi" w:cstheme="minorHAnsi"/>
                <w:sz w:val="22"/>
              </w:rPr>
            </w:pPr>
            <w:r w:rsidRPr="00FD2E3F">
              <w:rPr>
                <w:rFonts w:asciiTheme="minorHAnsi" w:hAnsiTheme="minorHAnsi" w:cstheme="minorHAnsi"/>
                <w:sz w:val="22"/>
              </w:rPr>
              <w:t>50% provision of affordable housing on sites of 10 or more homes (gro</w:t>
            </w:r>
            <w:r w:rsidR="00DE78ED">
              <w:rPr>
                <w:rFonts w:asciiTheme="minorHAnsi" w:hAnsiTheme="minorHAnsi" w:cstheme="minorHAnsi"/>
                <w:sz w:val="22"/>
              </w:rPr>
              <w:t xml:space="preserve">ss). (Core Strategy Policy CS24 </w:t>
            </w:r>
            <w:r w:rsidRPr="00FD2E3F">
              <w:rPr>
                <w:rFonts w:asciiTheme="minorHAnsi" w:hAnsiTheme="minorHAnsi" w:cstheme="minorHAnsi"/>
                <w:sz w:val="22"/>
              </w:rPr>
              <w:t>indicator</w:t>
            </w:r>
            <w:r w:rsidR="00DE78ED">
              <w:rPr>
                <w:rFonts w:asciiTheme="minorHAnsi" w:hAnsiTheme="minorHAnsi" w:cstheme="minorHAnsi"/>
                <w:sz w:val="22"/>
              </w:rPr>
              <w:t>.</w:t>
            </w:r>
            <w:r w:rsidRPr="00FD2E3F">
              <w:rPr>
                <w:rFonts w:asciiTheme="minorHAnsi" w:hAnsiTheme="minorHAnsi" w:cstheme="minorHAnsi"/>
                <w:sz w:val="22"/>
              </w:rPr>
              <w:t>)</w:t>
            </w:r>
          </w:p>
        </w:tc>
        <w:tc>
          <w:tcPr>
            <w:tcW w:w="3504" w:type="dxa"/>
          </w:tcPr>
          <w:p w:rsidR="00E2477E" w:rsidRPr="001769D7" w:rsidRDefault="00E2477E" w:rsidP="00DE78ED">
            <w:pPr>
              <w:rPr>
                <w:rFonts w:asciiTheme="minorHAnsi" w:hAnsiTheme="minorHAnsi" w:cstheme="minorHAnsi"/>
                <w:sz w:val="22"/>
              </w:rPr>
            </w:pPr>
            <w:r>
              <w:rPr>
                <w:rFonts w:asciiTheme="minorHAnsi" w:hAnsiTheme="minorHAnsi" w:cstheme="minorHAnsi"/>
                <w:sz w:val="22"/>
              </w:rPr>
              <w:t>See AMR Indicator 15</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HP4</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Affordable homes from small housing sites</w:t>
            </w:r>
          </w:p>
        </w:tc>
        <w:tc>
          <w:tcPr>
            <w:tcW w:w="3503" w:type="dxa"/>
            <w:shd w:val="clear" w:color="auto" w:fill="auto"/>
          </w:tcPr>
          <w:p w:rsidR="00E2477E" w:rsidRPr="00FD2E3F" w:rsidRDefault="00E2477E" w:rsidP="009B6DBE">
            <w:pPr>
              <w:rPr>
                <w:rFonts w:asciiTheme="minorHAnsi" w:hAnsiTheme="minorHAnsi" w:cstheme="minorHAnsi"/>
                <w:sz w:val="22"/>
              </w:rPr>
            </w:pPr>
            <w:r w:rsidRPr="00FD2E3F">
              <w:rPr>
                <w:rFonts w:asciiTheme="minorHAnsi" w:hAnsiTheme="minorHAnsi" w:cstheme="minorHAnsi"/>
                <w:sz w:val="22"/>
              </w:rPr>
              <w:t>No set target for sites of 4 to 9 hom</w:t>
            </w:r>
            <w:r w:rsidRPr="00F02652">
              <w:rPr>
                <w:rFonts w:asciiTheme="minorHAnsi" w:hAnsiTheme="minorHAnsi" w:cstheme="minorHAnsi"/>
                <w:sz w:val="22"/>
              </w:rPr>
              <w:t>es – AMR will in</w:t>
            </w:r>
            <w:r w:rsidR="00DE78ED">
              <w:rPr>
                <w:rFonts w:asciiTheme="minorHAnsi" w:hAnsiTheme="minorHAnsi" w:cstheme="minorHAnsi"/>
                <w:sz w:val="22"/>
              </w:rPr>
              <w:t xml:space="preserve">clude a report on the financial </w:t>
            </w:r>
            <w:r w:rsidRPr="00F02652">
              <w:rPr>
                <w:rFonts w:asciiTheme="minorHAnsi" w:hAnsiTheme="minorHAnsi" w:cstheme="minorHAnsi"/>
                <w:sz w:val="22"/>
              </w:rPr>
              <w:t>contrib</w:t>
            </w:r>
            <w:r w:rsidR="00DE78ED">
              <w:rPr>
                <w:rFonts w:asciiTheme="minorHAnsi" w:hAnsiTheme="minorHAnsi" w:cstheme="minorHAnsi"/>
                <w:sz w:val="22"/>
              </w:rPr>
              <w:t xml:space="preserve">utions collected for affordable </w:t>
            </w:r>
            <w:r w:rsidRPr="00F02652">
              <w:rPr>
                <w:rFonts w:asciiTheme="minorHAnsi" w:hAnsiTheme="minorHAnsi" w:cstheme="minorHAnsi"/>
                <w:sz w:val="22"/>
              </w:rPr>
              <w:t>housing.</w:t>
            </w:r>
          </w:p>
        </w:tc>
        <w:tc>
          <w:tcPr>
            <w:tcW w:w="3504" w:type="dxa"/>
          </w:tcPr>
          <w:p w:rsidR="00E2477E" w:rsidRPr="001769D7" w:rsidRDefault="00E2477E" w:rsidP="009B6DBE">
            <w:pPr>
              <w:rPr>
                <w:rFonts w:asciiTheme="minorHAnsi" w:hAnsiTheme="minorHAnsi" w:cstheme="minorHAnsi"/>
                <w:sz w:val="22"/>
              </w:rPr>
            </w:pPr>
            <w:r>
              <w:rPr>
                <w:rFonts w:asciiTheme="minorHAnsi" w:hAnsiTheme="minorHAnsi" w:cstheme="minorHAnsi"/>
                <w:sz w:val="22"/>
              </w:rPr>
              <w:t xml:space="preserve">See AMR section on </w:t>
            </w:r>
            <w:r w:rsidR="00DE78ED">
              <w:rPr>
                <w:sz w:val="20"/>
                <w:szCs w:val="22"/>
              </w:rPr>
              <w:t>financial c</w:t>
            </w:r>
            <w:r>
              <w:rPr>
                <w:sz w:val="20"/>
                <w:szCs w:val="22"/>
              </w:rPr>
              <w:t>ontr</w:t>
            </w:r>
            <w:r w:rsidR="00DE78ED">
              <w:rPr>
                <w:sz w:val="20"/>
                <w:szCs w:val="22"/>
              </w:rPr>
              <w:t>ibutions towards affordable housing (p.57).</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HP5</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Location of student accommodation</w:t>
            </w:r>
          </w:p>
        </w:tc>
        <w:tc>
          <w:tcPr>
            <w:tcW w:w="3503" w:type="dxa"/>
            <w:shd w:val="clear" w:color="auto" w:fill="auto"/>
          </w:tcPr>
          <w:p w:rsidR="00E2477E" w:rsidRPr="00D71D7D" w:rsidRDefault="00E2477E" w:rsidP="009B6DBE">
            <w:pPr>
              <w:rPr>
                <w:rFonts w:asciiTheme="minorHAnsi" w:hAnsiTheme="minorHAnsi" w:cstheme="minorHAnsi"/>
                <w:sz w:val="22"/>
              </w:rPr>
            </w:pPr>
            <w:r w:rsidRPr="00D71D7D">
              <w:rPr>
                <w:rFonts w:asciiTheme="minorHAnsi" w:hAnsiTheme="minorHAnsi" w:cstheme="minorHAnsi"/>
                <w:sz w:val="22"/>
              </w:rPr>
              <w:t>95% of sites approved for uses including new student accommodation to be in one of the following locations:</w:t>
            </w:r>
          </w:p>
          <w:p w:rsidR="00E2477E" w:rsidRPr="00D71D7D" w:rsidRDefault="00E2477E" w:rsidP="009B6DBE">
            <w:pPr>
              <w:rPr>
                <w:rFonts w:asciiTheme="minorHAnsi" w:hAnsiTheme="minorHAnsi" w:cstheme="minorHAnsi"/>
                <w:sz w:val="22"/>
              </w:rPr>
            </w:pPr>
            <w:r w:rsidRPr="00D71D7D">
              <w:rPr>
                <w:rFonts w:asciiTheme="minorHAnsi" w:hAnsiTheme="minorHAnsi" w:cstheme="minorHAnsi"/>
                <w:sz w:val="22"/>
              </w:rPr>
              <w:t>• on or adjacent to an existing university or college academic site, or hospital and research site</w:t>
            </w:r>
          </w:p>
          <w:p w:rsidR="00E2477E" w:rsidRPr="00D71D7D" w:rsidRDefault="00E2477E" w:rsidP="009B6DBE">
            <w:pPr>
              <w:rPr>
                <w:rFonts w:asciiTheme="minorHAnsi" w:hAnsiTheme="minorHAnsi" w:cstheme="minorHAnsi"/>
                <w:sz w:val="22"/>
              </w:rPr>
            </w:pPr>
            <w:r w:rsidRPr="00D71D7D">
              <w:rPr>
                <w:rFonts w:asciiTheme="minorHAnsi" w:hAnsiTheme="minorHAnsi" w:cstheme="minorHAnsi"/>
                <w:sz w:val="22"/>
              </w:rPr>
              <w:t xml:space="preserve">• in the City or a </w:t>
            </w:r>
            <w:r w:rsidR="003161C9" w:rsidRPr="00D71D7D">
              <w:rPr>
                <w:rFonts w:asciiTheme="minorHAnsi" w:hAnsiTheme="minorHAnsi" w:cstheme="minorHAnsi"/>
                <w:sz w:val="22"/>
              </w:rPr>
              <w:t>district centre</w:t>
            </w:r>
          </w:p>
          <w:p w:rsidR="00E2477E" w:rsidRPr="00FD2E3F" w:rsidRDefault="00E2477E" w:rsidP="009B6DBE">
            <w:pPr>
              <w:rPr>
                <w:rFonts w:asciiTheme="minorHAnsi" w:hAnsiTheme="minorHAnsi" w:cstheme="minorHAnsi"/>
                <w:sz w:val="22"/>
              </w:rPr>
            </w:pPr>
            <w:r w:rsidRPr="00D71D7D">
              <w:rPr>
                <w:rFonts w:asciiTheme="minorHAnsi" w:hAnsiTheme="minorHAnsi" w:cstheme="minorHAnsi"/>
                <w:sz w:val="22"/>
              </w:rPr>
              <w:lastRenderedPageBreak/>
              <w:t>• located adjacent to a main thoroughfare.</w:t>
            </w:r>
          </w:p>
        </w:tc>
        <w:tc>
          <w:tcPr>
            <w:tcW w:w="3504" w:type="dxa"/>
          </w:tcPr>
          <w:p w:rsidR="00E2477E" w:rsidRPr="001769D7" w:rsidRDefault="00485031" w:rsidP="009B6DBE">
            <w:pPr>
              <w:rPr>
                <w:rFonts w:asciiTheme="minorHAnsi" w:hAnsiTheme="minorHAnsi" w:cstheme="minorHAnsi"/>
                <w:sz w:val="22"/>
              </w:rPr>
            </w:pPr>
            <w:r>
              <w:rPr>
                <w:rFonts w:asciiTheme="minorHAnsi" w:hAnsiTheme="minorHAnsi" w:cstheme="minorHAnsi"/>
                <w:sz w:val="22"/>
              </w:rPr>
              <w:lastRenderedPageBreak/>
              <w:t xml:space="preserve">100% of planning permissions for new student accommodation </w:t>
            </w:r>
            <w:r w:rsidR="00D71D7D">
              <w:rPr>
                <w:rFonts w:asciiTheme="minorHAnsi" w:hAnsiTheme="minorHAnsi" w:cstheme="minorHAnsi"/>
                <w:sz w:val="22"/>
              </w:rPr>
              <w:t>granted in 2013/14 met the locational requirements set by Policy HP5.</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lastRenderedPageBreak/>
              <w:t>HP6</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Affordable homes from student accommodation</w:t>
            </w:r>
          </w:p>
        </w:tc>
        <w:tc>
          <w:tcPr>
            <w:tcW w:w="3503" w:type="dxa"/>
            <w:shd w:val="clear" w:color="auto" w:fill="auto"/>
          </w:tcPr>
          <w:p w:rsidR="00E2477E" w:rsidRPr="00FD2E3F" w:rsidRDefault="00E2477E" w:rsidP="009B6DBE">
            <w:pPr>
              <w:rPr>
                <w:rFonts w:asciiTheme="minorHAnsi" w:hAnsiTheme="minorHAnsi" w:cstheme="minorHAnsi"/>
                <w:sz w:val="22"/>
              </w:rPr>
            </w:pPr>
            <w:r w:rsidRPr="00FD2E3F">
              <w:rPr>
                <w:rFonts w:asciiTheme="minorHAnsi" w:hAnsiTheme="minorHAnsi" w:cstheme="minorHAnsi"/>
                <w:sz w:val="22"/>
              </w:rPr>
              <w:t xml:space="preserve">No set target – </w:t>
            </w:r>
            <w:r w:rsidRPr="00F02652">
              <w:rPr>
                <w:rFonts w:asciiTheme="minorHAnsi" w:hAnsiTheme="minorHAnsi" w:cstheme="minorHAnsi"/>
                <w:sz w:val="22"/>
              </w:rPr>
              <w:t>AMR will include a report on the financial contributions collected for affordable housing from development sites of 20 or more student bedrooms.</w:t>
            </w:r>
          </w:p>
        </w:tc>
        <w:tc>
          <w:tcPr>
            <w:tcW w:w="3504" w:type="dxa"/>
          </w:tcPr>
          <w:p w:rsidR="00E2477E" w:rsidRPr="001769D7" w:rsidRDefault="00DE78ED" w:rsidP="009B6DBE">
            <w:pPr>
              <w:rPr>
                <w:rFonts w:asciiTheme="minorHAnsi" w:hAnsiTheme="minorHAnsi" w:cstheme="minorHAnsi"/>
                <w:sz w:val="22"/>
              </w:rPr>
            </w:pPr>
            <w:r>
              <w:rPr>
                <w:rFonts w:asciiTheme="minorHAnsi" w:hAnsiTheme="minorHAnsi" w:cstheme="minorHAnsi"/>
                <w:sz w:val="22"/>
              </w:rPr>
              <w:t xml:space="preserve">See AMR section on </w:t>
            </w:r>
            <w:r>
              <w:rPr>
                <w:sz w:val="20"/>
                <w:szCs w:val="22"/>
              </w:rPr>
              <w:t>financial contributions towards affordable housing (p.57).</w:t>
            </w:r>
          </w:p>
        </w:tc>
      </w:tr>
      <w:tr w:rsidR="00F2548B" w:rsidRPr="001769D7" w:rsidTr="00137A6D">
        <w:tc>
          <w:tcPr>
            <w:tcW w:w="959" w:type="dxa"/>
            <w:shd w:val="clear" w:color="auto" w:fill="auto"/>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HP7</w:t>
            </w:r>
          </w:p>
        </w:tc>
        <w:tc>
          <w:tcPr>
            <w:tcW w:w="1276" w:type="dxa"/>
            <w:shd w:val="clear" w:color="auto" w:fill="auto"/>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Houses in multiple occupation</w:t>
            </w:r>
          </w:p>
        </w:tc>
        <w:tc>
          <w:tcPr>
            <w:tcW w:w="3503" w:type="dxa"/>
            <w:shd w:val="clear" w:color="auto" w:fill="auto"/>
          </w:tcPr>
          <w:p w:rsidR="00E2477E" w:rsidRPr="000F63B0" w:rsidRDefault="00E2477E" w:rsidP="009B6DBE">
            <w:pPr>
              <w:rPr>
                <w:rFonts w:asciiTheme="minorHAnsi" w:hAnsiTheme="minorHAnsi" w:cstheme="minorHAnsi"/>
                <w:sz w:val="22"/>
              </w:rPr>
            </w:pPr>
            <w:r w:rsidRPr="00FD2E3F">
              <w:rPr>
                <w:rFonts w:asciiTheme="minorHAnsi" w:hAnsiTheme="minorHAnsi" w:cstheme="minorHAnsi"/>
                <w:sz w:val="22"/>
              </w:rPr>
              <w:t xml:space="preserve">No set target – </w:t>
            </w:r>
            <w:r w:rsidRPr="000F63B0">
              <w:rPr>
                <w:rFonts w:asciiTheme="minorHAnsi" w:hAnsiTheme="minorHAnsi" w:cstheme="minorHAnsi"/>
                <w:sz w:val="22"/>
              </w:rPr>
              <w:t>AMR will include a report on the number of</w:t>
            </w:r>
          </w:p>
          <w:p w:rsidR="00E2477E" w:rsidRPr="000F63B0" w:rsidRDefault="00F2548B" w:rsidP="009B6DBE">
            <w:pPr>
              <w:rPr>
                <w:rFonts w:asciiTheme="minorHAnsi" w:hAnsiTheme="minorHAnsi" w:cstheme="minorHAnsi"/>
                <w:sz w:val="22"/>
              </w:rPr>
            </w:pPr>
            <w:r>
              <w:rPr>
                <w:rFonts w:asciiTheme="minorHAnsi" w:hAnsiTheme="minorHAnsi" w:cstheme="minorHAnsi"/>
                <w:sz w:val="22"/>
              </w:rPr>
              <w:t>a</w:t>
            </w:r>
            <w:r w:rsidR="00E2477E" w:rsidRPr="000F63B0">
              <w:rPr>
                <w:rFonts w:asciiTheme="minorHAnsi" w:hAnsiTheme="minorHAnsi" w:cstheme="minorHAnsi"/>
                <w:sz w:val="22"/>
              </w:rPr>
              <w:t>pplications determined for</w:t>
            </w:r>
            <w:r>
              <w:rPr>
                <w:rFonts w:asciiTheme="minorHAnsi" w:hAnsiTheme="minorHAnsi" w:cstheme="minorHAnsi"/>
                <w:sz w:val="22"/>
              </w:rPr>
              <w:t xml:space="preserve"> the</w:t>
            </w:r>
          </w:p>
          <w:p w:rsidR="00E2477E" w:rsidRDefault="00E2477E" w:rsidP="009B6DBE">
            <w:pPr>
              <w:rPr>
                <w:rFonts w:asciiTheme="minorHAnsi" w:hAnsiTheme="minorHAnsi" w:cstheme="minorHAnsi"/>
                <w:sz w:val="22"/>
              </w:rPr>
            </w:pPr>
            <w:proofErr w:type="gramStart"/>
            <w:r w:rsidRPr="000F63B0">
              <w:rPr>
                <w:rFonts w:asciiTheme="minorHAnsi" w:hAnsiTheme="minorHAnsi" w:cstheme="minorHAnsi"/>
                <w:sz w:val="22"/>
              </w:rPr>
              <w:t>creatio</w:t>
            </w:r>
            <w:r w:rsidR="00137A6D">
              <w:rPr>
                <w:rFonts w:asciiTheme="minorHAnsi" w:hAnsiTheme="minorHAnsi" w:cstheme="minorHAnsi"/>
                <w:sz w:val="22"/>
              </w:rPr>
              <w:t>n</w:t>
            </w:r>
            <w:proofErr w:type="gramEnd"/>
            <w:r w:rsidR="00137A6D">
              <w:rPr>
                <w:rFonts w:asciiTheme="minorHAnsi" w:hAnsiTheme="minorHAnsi" w:cstheme="minorHAnsi"/>
                <w:sz w:val="22"/>
              </w:rPr>
              <w:t xml:space="preserve"> of new HMOs within each ward, and of these the number </w:t>
            </w:r>
            <w:r w:rsidRPr="000F63B0">
              <w:rPr>
                <w:rFonts w:asciiTheme="minorHAnsi" w:hAnsiTheme="minorHAnsi" w:cstheme="minorHAnsi"/>
                <w:sz w:val="22"/>
              </w:rPr>
              <w:t>approved.</w:t>
            </w:r>
          </w:p>
          <w:p w:rsidR="00E2477E" w:rsidRPr="00FD2E3F" w:rsidRDefault="00E2477E" w:rsidP="009B6DBE">
            <w:pPr>
              <w:rPr>
                <w:rFonts w:asciiTheme="minorHAnsi" w:hAnsiTheme="minorHAnsi" w:cstheme="minorHAnsi"/>
                <w:sz w:val="22"/>
              </w:rPr>
            </w:pPr>
          </w:p>
        </w:tc>
        <w:tc>
          <w:tcPr>
            <w:tcW w:w="3504" w:type="dxa"/>
            <w:shd w:val="clear" w:color="auto" w:fill="auto"/>
          </w:tcPr>
          <w:p w:rsidR="00E2477E" w:rsidRDefault="00F2548B" w:rsidP="009B6DBE">
            <w:pPr>
              <w:rPr>
                <w:rFonts w:asciiTheme="minorHAnsi" w:hAnsiTheme="minorHAnsi" w:cstheme="minorHAnsi"/>
                <w:sz w:val="22"/>
              </w:rPr>
            </w:pPr>
            <w:r>
              <w:rPr>
                <w:rFonts w:asciiTheme="minorHAnsi" w:hAnsiTheme="minorHAnsi" w:cstheme="minorHAnsi"/>
                <w:sz w:val="22"/>
              </w:rPr>
              <w:t>A summary of the applications for new HMOs determined during 2013/14 is given below:</w:t>
            </w:r>
          </w:p>
          <w:p w:rsidR="00F2548B" w:rsidRDefault="00F2548B" w:rsidP="009B6DBE">
            <w:pPr>
              <w:rPr>
                <w:rFonts w:asciiTheme="minorHAnsi" w:hAnsiTheme="minorHAnsi" w:cstheme="minorHAnsi"/>
                <w:sz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69"/>
              <w:gridCol w:w="1093"/>
              <w:gridCol w:w="1080"/>
            </w:tblGrid>
            <w:tr w:rsidR="00F2548B" w:rsidTr="00F2548B">
              <w:tc>
                <w:tcPr>
                  <w:tcW w:w="964" w:type="dxa"/>
                  <w:shd w:val="clear" w:color="auto" w:fill="D9D9D9" w:themeFill="background1" w:themeFillShade="D9"/>
                </w:tcPr>
                <w:p w:rsidR="00137A6D" w:rsidRPr="00F2548B" w:rsidRDefault="00137A6D" w:rsidP="00F2548B">
                  <w:pPr>
                    <w:ind w:left="-80"/>
                    <w:jc w:val="center"/>
                    <w:rPr>
                      <w:rFonts w:asciiTheme="minorHAnsi" w:hAnsiTheme="minorHAnsi" w:cstheme="minorHAnsi"/>
                      <w:b/>
                      <w:sz w:val="16"/>
                    </w:rPr>
                  </w:pPr>
                  <w:r w:rsidRPr="00F2548B">
                    <w:rPr>
                      <w:rFonts w:asciiTheme="minorHAnsi" w:hAnsiTheme="minorHAnsi" w:cstheme="minorHAnsi"/>
                      <w:b/>
                      <w:sz w:val="16"/>
                    </w:rPr>
                    <w:t>Ward</w:t>
                  </w:r>
                </w:p>
              </w:tc>
              <w:tc>
                <w:tcPr>
                  <w:tcW w:w="1116" w:type="dxa"/>
                  <w:shd w:val="clear" w:color="auto" w:fill="D9D9D9" w:themeFill="background1" w:themeFillShade="D9"/>
                </w:tcPr>
                <w:p w:rsidR="00137A6D" w:rsidRPr="00F2548B" w:rsidRDefault="00F2548B" w:rsidP="00137A6D">
                  <w:pPr>
                    <w:jc w:val="center"/>
                    <w:rPr>
                      <w:rFonts w:asciiTheme="minorHAnsi" w:hAnsiTheme="minorHAnsi" w:cstheme="minorHAnsi"/>
                      <w:b/>
                      <w:sz w:val="16"/>
                    </w:rPr>
                  </w:pPr>
                  <w:r w:rsidRPr="00F2548B">
                    <w:rPr>
                      <w:rFonts w:asciiTheme="minorHAnsi" w:hAnsiTheme="minorHAnsi" w:cstheme="minorHAnsi"/>
                      <w:b/>
                      <w:sz w:val="16"/>
                    </w:rPr>
                    <w:t>HMO a</w:t>
                  </w:r>
                  <w:r w:rsidR="00137A6D" w:rsidRPr="00F2548B">
                    <w:rPr>
                      <w:rFonts w:asciiTheme="minorHAnsi" w:hAnsiTheme="minorHAnsi" w:cstheme="minorHAnsi"/>
                      <w:b/>
                      <w:sz w:val="16"/>
                    </w:rPr>
                    <w:t>pplications</w:t>
                  </w:r>
                </w:p>
                <w:p w:rsidR="00137A6D" w:rsidRPr="00F2548B" w:rsidRDefault="00F2548B" w:rsidP="00137A6D">
                  <w:pPr>
                    <w:jc w:val="center"/>
                    <w:rPr>
                      <w:rFonts w:asciiTheme="minorHAnsi" w:hAnsiTheme="minorHAnsi" w:cstheme="minorHAnsi"/>
                      <w:b/>
                      <w:sz w:val="16"/>
                    </w:rPr>
                  </w:pPr>
                  <w:r w:rsidRPr="00F2548B">
                    <w:rPr>
                      <w:rFonts w:asciiTheme="minorHAnsi" w:hAnsiTheme="minorHAnsi" w:cstheme="minorHAnsi"/>
                      <w:b/>
                      <w:sz w:val="16"/>
                    </w:rPr>
                    <w:t>d</w:t>
                  </w:r>
                  <w:r w:rsidR="00137A6D" w:rsidRPr="00F2548B">
                    <w:rPr>
                      <w:rFonts w:asciiTheme="minorHAnsi" w:hAnsiTheme="minorHAnsi" w:cstheme="minorHAnsi"/>
                      <w:b/>
                      <w:sz w:val="16"/>
                    </w:rPr>
                    <w:t>etermined</w:t>
                  </w:r>
                </w:p>
              </w:tc>
              <w:tc>
                <w:tcPr>
                  <w:tcW w:w="1098" w:type="dxa"/>
                  <w:shd w:val="clear" w:color="auto" w:fill="D9D9D9" w:themeFill="background1" w:themeFillShade="D9"/>
                </w:tcPr>
                <w:p w:rsidR="00137A6D" w:rsidRPr="00F2548B" w:rsidRDefault="00137A6D" w:rsidP="00137A6D">
                  <w:pPr>
                    <w:jc w:val="center"/>
                    <w:rPr>
                      <w:rFonts w:asciiTheme="minorHAnsi" w:hAnsiTheme="minorHAnsi" w:cstheme="minorHAnsi"/>
                      <w:b/>
                      <w:sz w:val="16"/>
                    </w:rPr>
                  </w:pPr>
                  <w:r w:rsidRPr="00F2548B">
                    <w:rPr>
                      <w:rFonts w:asciiTheme="minorHAnsi" w:hAnsiTheme="minorHAnsi" w:cstheme="minorHAnsi"/>
                      <w:b/>
                      <w:sz w:val="16"/>
                    </w:rPr>
                    <w:t>HMO applications approved</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Churchill</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3</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3</w:t>
                  </w:r>
                </w:p>
              </w:tc>
            </w:tr>
            <w:tr w:rsidR="000E24AD" w:rsidTr="00F2548B">
              <w:tc>
                <w:tcPr>
                  <w:tcW w:w="964" w:type="dxa"/>
                </w:tcPr>
                <w:p w:rsidR="00137A6D" w:rsidRPr="00137A6D" w:rsidRDefault="00F2548B" w:rsidP="009B6DBE">
                  <w:pPr>
                    <w:rPr>
                      <w:rFonts w:asciiTheme="minorHAnsi" w:hAnsiTheme="minorHAnsi" w:cstheme="minorHAnsi"/>
                      <w:sz w:val="18"/>
                    </w:rPr>
                  </w:pPr>
                  <w:proofErr w:type="spellStart"/>
                  <w:r>
                    <w:rPr>
                      <w:rFonts w:asciiTheme="minorHAnsi" w:hAnsiTheme="minorHAnsi" w:cstheme="minorHAnsi"/>
                      <w:sz w:val="18"/>
                    </w:rPr>
                    <w:t>Cowley</w:t>
                  </w:r>
                  <w:proofErr w:type="spellEnd"/>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3</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2</w:t>
                  </w:r>
                </w:p>
              </w:tc>
            </w:tr>
            <w:tr w:rsidR="000E24AD" w:rsidTr="00F2548B">
              <w:tc>
                <w:tcPr>
                  <w:tcW w:w="964" w:type="dxa"/>
                </w:tcPr>
                <w:p w:rsidR="00137A6D" w:rsidRPr="00137A6D" w:rsidRDefault="00F2548B" w:rsidP="009B6DBE">
                  <w:pPr>
                    <w:rPr>
                      <w:rFonts w:asciiTheme="minorHAnsi" w:hAnsiTheme="minorHAnsi" w:cstheme="minorHAnsi"/>
                      <w:sz w:val="18"/>
                    </w:rPr>
                  </w:pPr>
                  <w:proofErr w:type="spellStart"/>
                  <w:r>
                    <w:rPr>
                      <w:rFonts w:asciiTheme="minorHAnsi" w:hAnsiTheme="minorHAnsi" w:cstheme="minorHAnsi"/>
                      <w:sz w:val="18"/>
                    </w:rPr>
                    <w:t>Cowley</w:t>
                  </w:r>
                  <w:proofErr w:type="spellEnd"/>
                  <w:r>
                    <w:rPr>
                      <w:rFonts w:asciiTheme="minorHAnsi" w:hAnsiTheme="minorHAnsi" w:cstheme="minorHAnsi"/>
                      <w:sz w:val="18"/>
                    </w:rPr>
                    <w:t xml:space="preserve"> Marsh</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0E24AD" w:rsidTr="00F2548B">
              <w:tc>
                <w:tcPr>
                  <w:tcW w:w="964" w:type="dxa"/>
                </w:tcPr>
                <w:p w:rsidR="00137A6D" w:rsidRPr="00137A6D" w:rsidRDefault="00F2548B" w:rsidP="009B6DBE">
                  <w:pPr>
                    <w:rPr>
                      <w:rFonts w:asciiTheme="minorHAnsi" w:hAnsiTheme="minorHAnsi" w:cstheme="minorHAnsi"/>
                      <w:sz w:val="18"/>
                    </w:rPr>
                  </w:pPr>
                  <w:proofErr w:type="spellStart"/>
                  <w:r>
                    <w:rPr>
                      <w:rFonts w:asciiTheme="minorHAnsi" w:hAnsiTheme="minorHAnsi" w:cstheme="minorHAnsi"/>
                      <w:sz w:val="18"/>
                    </w:rPr>
                    <w:t>Headington</w:t>
                  </w:r>
                  <w:proofErr w:type="spellEnd"/>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2</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2</w:t>
                  </w:r>
                </w:p>
              </w:tc>
            </w:tr>
            <w:tr w:rsidR="000E24AD" w:rsidTr="00F2548B">
              <w:tc>
                <w:tcPr>
                  <w:tcW w:w="964" w:type="dxa"/>
                </w:tcPr>
                <w:p w:rsidR="00137A6D" w:rsidRPr="00137A6D" w:rsidRDefault="00F2548B" w:rsidP="009B6DBE">
                  <w:pPr>
                    <w:rPr>
                      <w:rFonts w:asciiTheme="minorHAnsi" w:hAnsiTheme="minorHAnsi" w:cstheme="minorHAnsi"/>
                      <w:sz w:val="18"/>
                    </w:rPr>
                  </w:pPr>
                  <w:proofErr w:type="spellStart"/>
                  <w:r>
                    <w:rPr>
                      <w:rFonts w:asciiTheme="minorHAnsi" w:hAnsiTheme="minorHAnsi" w:cstheme="minorHAnsi"/>
                      <w:sz w:val="18"/>
                    </w:rPr>
                    <w:t>Iffley</w:t>
                  </w:r>
                  <w:proofErr w:type="spellEnd"/>
                  <w:r>
                    <w:rPr>
                      <w:rFonts w:asciiTheme="minorHAnsi" w:hAnsiTheme="minorHAnsi" w:cstheme="minorHAnsi"/>
                      <w:sz w:val="18"/>
                    </w:rPr>
                    <w:t xml:space="preserve"> Fields</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3</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2</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 xml:space="preserve">Jericho &amp; </w:t>
                  </w:r>
                  <w:proofErr w:type="spellStart"/>
                  <w:r>
                    <w:rPr>
                      <w:rFonts w:asciiTheme="minorHAnsi" w:hAnsiTheme="minorHAnsi" w:cstheme="minorHAnsi"/>
                      <w:sz w:val="18"/>
                    </w:rPr>
                    <w:t>Osney</w:t>
                  </w:r>
                  <w:proofErr w:type="spellEnd"/>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Lye Valley</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Marston</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North</w:t>
                  </w:r>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0E24AD" w:rsidTr="00F2548B">
              <w:tc>
                <w:tcPr>
                  <w:tcW w:w="964" w:type="dxa"/>
                </w:tcPr>
                <w:p w:rsidR="00137A6D" w:rsidRPr="00137A6D" w:rsidRDefault="00F2548B" w:rsidP="009B6DBE">
                  <w:pPr>
                    <w:rPr>
                      <w:rFonts w:asciiTheme="minorHAnsi" w:hAnsiTheme="minorHAnsi" w:cstheme="minorHAnsi"/>
                      <w:sz w:val="18"/>
                    </w:rPr>
                  </w:pPr>
                  <w:r>
                    <w:rPr>
                      <w:rFonts w:asciiTheme="minorHAnsi" w:hAnsiTheme="minorHAnsi" w:cstheme="minorHAnsi"/>
                      <w:sz w:val="18"/>
                    </w:rPr>
                    <w:t xml:space="preserve">Quarry &amp; </w:t>
                  </w:r>
                  <w:proofErr w:type="spellStart"/>
                  <w:r>
                    <w:rPr>
                      <w:rFonts w:asciiTheme="minorHAnsi" w:hAnsiTheme="minorHAnsi" w:cstheme="minorHAnsi"/>
                      <w:sz w:val="18"/>
                    </w:rPr>
                    <w:t>Risinghurst</w:t>
                  </w:r>
                  <w:proofErr w:type="spellEnd"/>
                </w:p>
              </w:tc>
              <w:tc>
                <w:tcPr>
                  <w:tcW w:w="1116"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c>
                <w:tcPr>
                  <w:tcW w:w="1098" w:type="dxa"/>
                </w:tcPr>
                <w:p w:rsidR="00137A6D" w:rsidRPr="00137A6D" w:rsidRDefault="00F2548B" w:rsidP="00F2548B">
                  <w:pPr>
                    <w:jc w:val="center"/>
                    <w:rPr>
                      <w:rFonts w:asciiTheme="minorHAnsi" w:hAnsiTheme="minorHAnsi" w:cstheme="minorHAnsi"/>
                      <w:sz w:val="18"/>
                    </w:rPr>
                  </w:pPr>
                  <w:r>
                    <w:rPr>
                      <w:rFonts w:asciiTheme="minorHAnsi" w:hAnsiTheme="minorHAnsi" w:cstheme="minorHAnsi"/>
                      <w:sz w:val="18"/>
                    </w:rPr>
                    <w:t>1</w:t>
                  </w:r>
                </w:p>
              </w:tc>
            </w:tr>
            <w:tr w:rsidR="00F2548B" w:rsidTr="00F2548B">
              <w:tc>
                <w:tcPr>
                  <w:tcW w:w="964" w:type="dxa"/>
                  <w:tcBorders>
                    <w:bottom w:val="single" w:sz="4" w:space="0" w:color="auto"/>
                  </w:tcBorders>
                </w:tcPr>
                <w:p w:rsidR="00F2548B" w:rsidRDefault="00F2548B" w:rsidP="009B6DBE">
                  <w:pPr>
                    <w:rPr>
                      <w:rFonts w:asciiTheme="minorHAnsi" w:hAnsiTheme="minorHAnsi" w:cstheme="minorHAnsi"/>
                      <w:sz w:val="18"/>
                    </w:rPr>
                  </w:pPr>
                  <w:r>
                    <w:rPr>
                      <w:rFonts w:asciiTheme="minorHAnsi" w:hAnsiTheme="minorHAnsi" w:cstheme="minorHAnsi"/>
                      <w:sz w:val="18"/>
                    </w:rPr>
                    <w:t>St Clements</w:t>
                  </w:r>
                </w:p>
              </w:tc>
              <w:tc>
                <w:tcPr>
                  <w:tcW w:w="1116" w:type="dxa"/>
                  <w:tcBorders>
                    <w:bottom w:val="single" w:sz="4" w:space="0" w:color="auto"/>
                  </w:tcBorders>
                </w:tcPr>
                <w:p w:rsidR="00F2548B" w:rsidRDefault="00F2548B" w:rsidP="00F2548B">
                  <w:pPr>
                    <w:jc w:val="center"/>
                    <w:rPr>
                      <w:rFonts w:asciiTheme="minorHAnsi" w:hAnsiTheme="minorHAnsi" w:cstheme="minorHAnsi"/>
                      <w:sz w:val="18"/>
                    </w:rPr>
                  </w:pPr>
                  <w:r>
                    <w:rPr>
                      <w:rFonts w:asciiTheme="minorHAnsi" w:hAnsiTheme="minorHAnsi" w:cstheme="minorHAnsi"/>
                      <w:sz w:val="18"/>
                    </w:rPr>
                    <w:t>3</w:t>
                  </w:r>
                </w:p>
              </w:tc>
              <w:tc>
                <w:tcPr>
                  <w:tcW w:w="1098" w:type="dxa"/>
                  <w:tcBorders>
                    <w:bottom w:val="single" w:sz="4" w:space="0" w:color="auto"/>
                  </w:tcBorders>
                </w:tcPr>
                <w:p w:rsidR="00F2548B" w:rsidRDefault="00F2548B" w:rsidP="00F2548B">
                  <w:pPr>
                    <w:jc w:val="center"/>
                    <w:rPr>
                      <w:rFonts w:asciiTheme="minorHAnsi" w:hAnsiTheme="minorHAnsi" w:cstheme="minorHAnsi"/>
                      <w:sz w:val="18"/>
                    </w:rPr>
                  </w:pPr>
                  <w:r>
                    <w:rPr>
                      <w:rFonts w:asciiTheme="minorHAnsi" w:hAnsiTheme="minorHAnsi" w:cstheme="minorHAnsi"/>
                      <w:sz w:val="18"/>
                    </w:rPr>
                    <w:t>2</w:t>
                  </w:r>
                </w:p>
              </w:tc>
            </w:tr>
            <w:tr w:rsidR="00F2548B" w:rsidTr="00F2548B">
              <w:tc>
                <w:tcPr>
                  <w:tcW w:w="964" w:type="dxa"/>
                  <w:tcBorders>
                    <w:bottom w:val="nil"/>
                  </w:tcBorders>
                </w:tcPr>
                <w:p w:rsidR="00F2548B" w:rsidRDefault="00F2548B" w:rsidP="009B6DBE">
                  <w:pPr>
                    <w:rPr>
                      <w:rFonts w:asciiTheme="minorHAnsi" w:hAnsiTheme="minorHAnsi" w:cstheme="minorHAnsi"/>
                      <w:sz w:val="18"/>
                    </w:rPr>
                  </w:pPr>
                </w:p>
              </w:tc>
              <w:tc>
                <w:tcPr>
                  <w:tcW w:w="1116" w:type="dxa"/>
                  <w:tcBorders>
                    <w:bottom w:val="nil"/>
                  </w:tcBorders>
                </w:tcPr>
                <w:p w:rsidR="00F2548B" w:rsidRDefault="00F2548B" w:rsidP="00F2548B">
                  <w:pPr>
                    <w:jc w:val="center"/>
                    <w:rPr>
                      <w:rFonts w:asciiTheme="minorHAnsi" w:hAnsiTheme="minorHAnsi" w:cstheme="minorHAnsi"/>
                      <w:sz w:val="18"/>
                    </w:rPr>
                  </w:pPr>
                </w:p>
              </w:tc>
              <w:tc>
                <w:tcPr>
                  <w:tcW w:w="1098" w:type="dxa"/>
                  <w:tcBorders>
                    <w:bottom w:val="nil"/>
                  </w:tcBorders>
                </w:tcPr>
                <w:p w:rsidR="00F2548B" w:rsidRDefault="00F2548B" w:rsidP="00F2548B">
                  <w:pPr>
                    <w:jc w:val="center"/>
                    <w:rPr>
                      <w:rFonts w:asciiTheme="minorHAnsi" w:hAnsiTheme="minorHAnsi" w:cstheme="minorHAnsi"/>
                      <w:sz w:val="18"/>
                    </w:rPr>
                  </w:pPr>
                </w:p>
              </w:tc>
            </w:tr>
          </w:tbl>
          <w:p w:rsidR="00137A6D" w:rsidRPr="001769D7" w:rsidRDefault="00137A6D" w:rsidP="00F2548B">
            <w:pPr>
              <w:rPr>
                <w:rFonts w:asciiTheme="minorHAnsi" w:hAnsiTheme="minorHAnsi" w:cstheme="minorHAnsi"/>
                <w:sz w:val="22"/>
              </w:rPr>
            </w:pPr>
          </w:p>
        </w:tc>
      </w:tr>
      <w:tr w:rsidR="00E2477E" w:rsidRPr="001769D7" w:rsidTr="00C577F4">
        <w:tc>
          <w:tcPr>
            <w:tcW w:w="959" w:type="dxa"/>
            <w:shd w:val="clear" w:color="auto" w:fill="auto"/>
          </w:tcPr>
          <w:p w:rsidR="00E2477E" w:rsidRPr="00C577F4" w:rsidRDefault="00E2477E" w:rsidP="00D71D7D">
            <w:pPr>
              <w:jc w:val="center"/>
              <w:rPr>
                <w:rFonts w:asciiTheme="minorHAnsi" w:hAnsiTheme="minorHAnsi" w:cstheme="minorHAnsi"/>
                <w:b/>
                <w:color w:val="31849B" w:themeColor="accent5" w:themeShade="BF"/>
                <w:sz w:val="22"/>
              </w:rPr>
            </w:pPr>
            <w:r w:rsidRPr="00C577F4">
              <w:rPr>
                <w:rFonts w:asciiTheme="minorHAnsi" w:hAnsiTheme="minorHAnsi" w:cstheme="minorHAnsi"/>
                <w:b/>
                <w:color w:val="31849B" w:themeColor="accent5" w:themeShade="BF"/>
                <w:sz w:val="22"/>
              </w:rPr>
              <w:t>HP8</w:t>
            </w:r>
          </w:p>
        </w:tc>
        <w:tc>
          <w:tcPr>
            <w:tcW w:w="1276" w:type="dxa"/>
            <w:shd w:val="clear" w:color="auto" w:fill="auto"/>
          </w:tcPr>
          <w:p w:rsidR="00E2477E" w:rsidRPr="00C577F4" w:rsidRDefault="00E2477E" w:rsidP="009B6DBE">
            <w:pPr>
              <w:rPr>
                <w:rFonts w:asciiTheme="minorHAnsi" w:hAnsiTheme="minorHAnsi" w:cstheme="minorHAnsi"/>
                <w:color w:val="215868" w:themeColor="accent5" w:themeShade="80"/>
                <w:sz w:val="22"/>
              </w:rPr>
            </w:pPr>
            <w:r w:rsidRPr="00C577F4">
              <w:rPr>
                <w:rFonts w:asciiTheme="minorHAnsi" w:hAnsiTheme="minorHAnsi" w:cstheme="minorHAnsi"/>
                <w:color w:val="215868" w:themeColor="accent5" w:themeShade="80"/>
                <w:sz w:val="22"/>
              </w:rPr>
              <w:t>Residential moorings</w:t>
            </w:r>
          </w:p>
        </w:tc>
        <w:tc>
          <w:tcPr>
            <w:tcW w:w="3503" w:type="dxa"/>
            <w:shd w:val="clear" w:color="auto" w:fill="auto"/>
          </w:tcPr>
          <w:p w:rsidR="00E2477E" w:rsidRPr="00C577F4" w:rsidRDefault="00E2477E" w:rsidP="009B6DBE">
            <w:pPr>
              <w:rPr>
                <w:rFonts w:asciiTheme="minorHAnsi" w:hAnsiTheme="minorHAnsi" w:cstheme="minorHAnsi"/>
                <w:sz w:val="22"/>
              </w:rPr>
            </w:pPr>
            <w:r w:rsidRPr="00C577F4">
              <w:rPr>
                <w:rFonts w:asciiTheme="minorHAnsi" w:hAnsiTheme="minorHAnsi" w:cstheme="minorHAnsi"/>
                <w:sz w:val="22"/>
              </w:rPr>
              <w:t>Nil</w:t>
            </w:r>
            <w:r w:rsidR="00DE78ED">
              <w:rPr>
                <w:rFonts w:asciiTheme="minorHAnsi" w:hAnsiTheme="minorHAnsi" w:cstheme="minorHAnsi"/>
                <w:sz w:val="22"/>
              </w:rPr>
              <w:t xml:space="preserve"> applications approved that are </w:t>
            </w:r>
            <w:r w:rsidRPr="00C577F4">
              <w:rPr>
                <w:rFonts w:asciiTheme="minorHAnsi" w:hAnsiTheme="minorHAnsi" w:cstheme="minorHAnsi"/>
                <w:sz w:val="22"/>
              </w:rPr>
              <w:t>sub</w:t>
            </w:r>
            <w:r w:rsidR="00DE78ED">
              <w:rPr>
                <w:rFonts w:asciiTheme="minorHAnsi" w:hAnsiTheme="minorHAnsi" w:cstheme="minorHAnsi"/>
                <w:sz w:val="22"/>
              </w:rPr>
              <w:t xml:space="preserve">ject to an unresolved objection by the body responsible for </w:t>
            </w:r>
            <w:r w:rsidRPr="00C577F4">
              <w:rPr>
                <w:rFonts w:asciiTheme="minorHAnsi" w:hAnsiTheme="minorHAnsi" w:cstheme="minorHAnsi"/>
                <w:sz w:val="22"/>
              </w:rPr>
              <w:t>m</w:t>
            </w:r>
            <w:r w:rsidR="00DE78ED">
              <w:rPr>
                <w:rFonts w:asciiTheme="minorHAnsi" w:hAnsiTheme="minorHAnsi" w:cstheme="minorHAnsi"/>
                <w:sz w:val="22"/>
              </w:rPr>
              <w:t xml:space="preserve">anagement of the relevant river </w:t>
            </w:r>
            <w:r w:rsidRPr="00C577F4">
              <w:rPr>
                <w:rFonts w:asciiTheme="minorHAnsi" w:hAnsiTheme="minorHAnsi" w:cstheme="minorHAnsi"/>
                <w:sz w:val="22"/>
              </w:rPr>
              <w:t>channel or waterway.</w:t>
            </w:r>
          </w:p>
        </w:tc>
        <w:tc>
          <w:tcPr>
            <w:tcW w:w="3504" w:type="dxa"/>
            <w:shd w:val="clear" w:color="auto" w:fill="auto"/>
          </w:tcPr>
          <w:p w:rsidR="00E2477E" w:rsidRPr="00C577F4" w:rsidRDefault="00C577F4" w:rsidP="009B6DBE">
            <w:pPr>
              <w:rPr>
                <w:rFonts w:asciiTheme="minorHAnsi" w:hAnsiTheme="minorHAnsi" w:cstheme="minorHAnsi"/>
                <w:sz w:val="22"/>
              </w:rPr>
            </w:pPr>
            <w:r w:rsidRPr="00C577F4">
              <w:rPr>
                <w:rFonts w:asciiTheme="minorHAnsi" w:hAnsiTheme="minorHAnsi" w:cstheme="minorHAnsi"/>
                <w:sz w:val="22"/>
              </w:rPr>
              <w:t>No applications for residential moorings received during the monitoring year.</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HP9</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Design Character and context</w:t>
            </w:r>
          </w:p>
        </w:tc>
        <w:tc>
          <w:tcPr>
            <w:tcW w:w="3503" w:type="dxa"/>
            <w:shd w:val="clear" w:color="auto" w:fill="auto"/>
          </w:tcPr>
          <w:p w:rsidR="00E2477E" w:rsidRPr="00FD2E3F" w:rsidRDefault="00E2477E" w:rsidP="009B6DBE">
            <w:pPr>
              <w:rPr>
                <w:rFonts w:asciiTheme="minorHAnsi" w:hAnsiTheme="minorHAnsi" w:cstheme="minorHAnsi"/>
                <w:sz w:val="22"/>
              </w:rPr>
            </w:pPr>
            <w:r w:rsidRPr="00264603">
              <w:rPr>
                <w:rFonts w:asciiTheme="minorHAnsi" w:hAnsiTheme="minorHAnsi" w:cstheme="minorHAnsi"/>
                <w:sz w:val="22"/>
              </w:rPr>
              <w:t>95% of new-build completions on sites of 10 or more homes should achi</w:t>
            </w:r>
            <w:r w:rsidR="00DE78ED">
              <w:rPr>
                <w:rFonts w:asciiTheme="minorHAnsi" w:hAnsiTheme="minorHAnsi" w:cstheme="minorHAnsi"/>
                <w:sz w:val="22"/>
              </w:rPr>
              <w:t xml:space="preserve">eve ‘green’ for every aspect of </w:t>
            </w:r>
            <w:r w:rsidRPr="00264603">
              <w:rPr>
                <w:rFonts w:asciiTheme="minorHAnsi" w:hAnsiTheme="minorHAnsi" w:cstheme="minorHAnsi"/>
                <w:sz w:val="22"/>
              </w:rPr>
              <w:t>Building for Life that applies to the development.</w:t>
            </w:r>
          </w:p>
        </w:tc>
        <w:tc>
          <w:tcPr>
            <w:tcW w:w="3504" w:type="dxa"/>
          </w:tcPr>
          <w:p w:rsidR="00E2477E" w:rsidRPr="001769D7" w:rsidRDefault="00264603" w:rsidP="00264603">
            <w:pPr>
              <w:rPr>
                <w:rFonts w:asciiTheme="minorHAnsi" w:hAnsiTheme="minorHAnsi" w:cstheme="minorHAnsi"/>
                <w:sz w:val="22"/>
              </w:rPr>
            </w:pPr>
            <w:r>
              <w:rPr>
                <w:rFonts w:asciiTheme="minorHAnsi" w:hAnsiTheme="minorHAnsi" w:cstheme="minorHAnsi"/>
                <w:sz w:val="22"/>
              </w:rPr>
              <w:t>There were no completions of residential developments of 10 or more homes in 2013/14.</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HP10</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Developing on residential gardens</w:t>
            </w:r>
          </w:p>
        </w:tc>
        <w:tc>
          <w:tcPr>
            <w:tcW w:w="3503" w:type="dxa"/>
          </w:tcPr>
          <w:p w:rsidR="00E2477E" w:rsidRDefault="00E2477E" w:rsidP="009B6DBE">
            <w:pPr>
              <w:rPr>
                <w:rFonts w:asciiTheme="minorHAnsi" w:hAnsiTheme="minorHAnsi" w:cstheme="minorHAnsi"/>
                <w:sz w:val="22"/>
              </w:rPr>
            </w:pPr>
            <w:r>
              <w:rPr>
                <w:rFonts w:asciiTheme="minorHAnsi" w:hAnsiTheme="minorHAnsi" w:cstheme="minorHAnsi"/>
                <w:sz w:val="22"/>
              </w:rPr>
              <w:t xml:space="preserve">No target proposed for </w:t>
            </w:r>
            <w:r w:rsidR="000E24AD">
              <w:rPr>
                <w:rFonts w:asciiTheme="minorHAnsi" w:hAnsiTheme="minorHAnsi" w:cstheme="minorHAnsi"/>
                <w:sz w:val="22"/>
              </w:rPr>
              <w:t xml:space="preserve">this policy. </w:t>
            </w:r>
            <w:r>
              <w:rPr>
                <w:rFonts w:asciiTheme="minorHAnsi" w:hAnsiTheme="minorHAnsi" w:cstheme="minorHAnsi"/>
                <w:sz w:val="22"/>
              </w:rPr>
              <w:t xml:space="preserve">Implementation depends heavily on the site </w:t>
            </w:r>
            <w:proofErr w:type="gramStart"/>
            <w:r w:rsidR="000E24AD">
              <w:rPr>
                <w:rFonts w:asciiTheme="minorHAnsi" w:hAnsiTheme="minorHAnsi" w:cstheme="minorHAnsi"/>
                <w:sz w:val="22"/>
              </w:rPr>
              <w:t>context,</w:t>
            </w:r>
            <w:proofErr w:type="gramEnd"/>
            <w:r w:rsidR="000E24AD">
              <w:rPr>
                <w:rFonts w:asciiTheme="minorHAnsi" w:hAnsiTheme="minorHAnsi" w:cstheme="minorHAnsi"/>
                <w:sz w:val="22"/>
              </w:rPr>
              <w:t xml:space="preserve"> therefore a </w:t>
            </w:r>
            <w:r>
              <w:rPr>
                <w:rFonts w:asciiTheme="minorHAnsi" w:hAnsiTheme="minorHAnsi" w:cstheme="minorHAnsi"/>
                <w:sz w:val="22"/>
              </w:rPr>
              <w:t xml:space="preserve">target would not be </w:t>
            </w:r>
            <w:r w:rsidRPr="00FD2E3F">
              <w:rPr>
                <w:rFonts w:asciiTheme="minorHAnsi" w:hAnsiTheme="minorHAnsi" w:cstheme="minorHAnsi"/>
                <w:sz w:val="22"/>
              </w:rPr>
              <w:t>appropriate.</w:t>
            </w:r>
          </w:p>
          <w:p w:rsidR="000E24AD" w:rsidRPr="00FD2E3F" w:rsidRDefault="000E24AD" w:rsidP="009B6DBE">
            <w:pPr>
              <w:rPr>
                <w:rFonts w:asciiTheme="minorHAnsi" w:hAnsiTheme="minorHAnsi" w:cstheme="minorHAnsi"/>
                <w:sz w:val="22"/>
              </w:rPr>
            </w:pPr>
          </w:p>
        </w:tc>
        <w:tc>
          <w:tcPr>
            <w:tcW w:w="3504" w:type="dxa"/>
          </w:tcPr>
          <w:p w:rsidR="00E2477E" w:rsidRPr="001769D7" w:rsidRDefault="00E2477E" w:rsidP="00DE78ED">
            <w:pPr>
              <w:rPr>
                <w:rFonts w:asciiTheme="minorHAnsi" w:hAnsiTheme="minorHAnsi" w:cstheme="minorHAnsi"/>
                <w:sz w:val="22"/>
              </w:rPr>
            </w:pPr>
            <w:r>
              <w:rPr>
                <w:rFonts w:asciiTheme="minorHAnsi" w:hAnsiTheme="minorHAnsi" w:cstheme="minorHAnsi"/>
                <w:sz w:val="22"/>
              </w:rPr>
              <w:t>Monitoring</w:t>
            </w:r>
            <w:r w:rsidR="00DE78ED">
              <w:rPr>
                <w:rFonts w:asciiTheme="minorHAnsi" w:hAnsiTheme="minorHAnsi" w:cstheme="minorHAnsi"/>
                <w:sz w:val="22"/>
              </w:rPr>
              <w:t xml:space="preserve"> is</w:t>
            </w:r>
            <w:r>
              <w:rPr>
                <w:rFonts w:asciiTheme="minorHAnsi" w:hAnsiTheme="minorHAnsi" w:cstheme="minorHAnsi"/>
                <w:sz w:val="22"/>
              </w:rPr>
              <w:t xml:space="preserve"> not required.</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HP11</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Low carbon homes</w:t>
            </w:r>
          </w:p>
        </w:tc>
        <w:tc>
          <w:tcPr>
            <w:tcW w:w="3503" w:type="dxa"/>
          </w:tcPr>
          <w:p w:rsidR="00E2477E" w:rsidRPr="00FD2E3F" w:rsidRDefault="00E2477E" w:rsidP="009B6DBE">
            <w:pPr>
              <w:rPr>
                <w:rFonts w:asciiTheme="minorHAnsi" w:hAnsiTheme="minorHAnsi" w:cstheme="minorHAnsi"/>
                <w:sz w:val="22"/>
              </w:rPr>
            </w:pPr>
            <w:r>
              <w:rPr>
                <w:rFonts w:asciiTheme="minorHAnsi" w:hAnsiTheme="minorHAnsi" w:cstheme="minorHAnsi"/>
                <w:sz w:val="22"/>
              </w:rPr>
              <w:t xml:space="preserve">95% of approved planning applications for 10 or more dwellings </w:t>
            </w:r>
            <w:r w:rsidRPr="00FD2E3F">
              <w:rPr>
                <w:rFonts w:asciiTheme="minorHAnsi" w:hAnsiTheme="minorHAnsi" w:cstheme="minorHAnsi"/>
                <w:sz w:val="22"/>
              </w:rPr>
              <w:t>to demonstrate that</w:t>
            </w:r>
          </w:p>
          <w:p w:rsidR="00E2477E" w:rsidRPr="00FD2E3F" w:rsidRDefault="00E2477E" w:rsidP="009B6DBE">
            <w:pPr>
              <w:rPr>
                <w:rFonts w:asciiTheme="minorHAnsi" w:hAnsiTheme="minorHAnsi" w:cstheme="minorHAnsi"/>
                <w:sz w:val="22"/>
              </w:rPr>
            </w:pPr>
            <w:r>
              <w:rPr>
                <w:rFonts w:asciiTheme="minorHAnsi" w:hAnsiTheme="minorHAnsi" w:cstheme="minorHAnsi"/>
                <w:sz w:val="22"/>
              </w:rPr>
              <w:t xml:space="preserve">20% of their </w:t>
            </w:r>
            <w:r w:rsidR="00D71D7D">
              <w:rPr>
                <w:rFonts w:asciiTheme="minorHAnsi" w:hAnsiTheme="minorHAnsi" w:cstheme="minorHAnsi"/>
                <w:sz w:val="22"/>
              </w:rPr>
              <w:t>on-going</w:t>
            </w:r>
            <w:r>
              <w:rPr>
                <w:rFonts w:asciiTheme="minorHAnsi" w:hAnsiTheme="minorHAnsi" w:cstheme="minorHAnsi"/>
                <w:sz w:val="22"/>
              </w:rPr>
              <w:t xml:space="preserve"> energy requirements will be from renewable or </w:t>
            </w:r>
            <w:r w:rsidRPr="00FD2E3F">
              <w:rPr>
                <w:rFonts w:asciiTheme="minorHAnsi" w:hAnsiTheme="minorHAnsi" w:cstheme="minorHAnsi"/>
                <w:sz w:val="22"/>
              </w:rPr>
              <w:t xml:space="preserve">low-carbon </w:t>
            </w:r>
            <w:r w:rsidR="00DE78ED">
              <w:rPr>
                <w:rFonts w:asciiTheme="minorHAnsi" w:hAnsiTheme="minorHAnsi" w:cstheme="minorHAnsi"/>
                <w:sz w:val="22"/>
              </w:rPr>
              <w:lastRenderedPageBreak/>
              <w:t xml:space="preserve">sources. </w:t>
            </w:r>
            <w:r>
              <w:rPr>
                <w:rFonts w:asciiTheme="minorHAnsi" w:hAnsiTheme="minorHAnsi" w:cstheme="minorHAnsi"/>
                <w:sz w:val="22"/>
              </w:rPr>
              <w:t xml:space="preserve">(Core Strategy Policy </w:t>
            </w:r>
            <w:r w:rsidRPr="00FD2E3F">
              <w:rPr>
                <w:rFonts w:asciiTheme="minorHAnsi" w:hAnsiTheme="minorHAnsi" w:cstheme="minorHAnsi"/>
                <w:sz w:val="22"/>
              </w:rPr>
              <w:t>CS9 indicator</w:t>
            </w:r>
            <w:r w:rsidR="00DE78ED">
              <w:rPr>
                <w:rFonts w:asciiTheme="minorHAnsi" w:hAnsiTheme="minorHAnsi" w:cstheme="minorHAnsi"/>
                <w:sz w:val="22"/>
              </w:rPr>
              <w:t>.</w:t>
            </w:r>
            <w:r w:rsidRPr="00FD2E3F">
              <w:rPr>
                <w:rFonts w:asciiTheme="minorHAnsi" w:hAnsiTheme="minorHAnsi" w:cstheme="minorHAnsi"/>
                <w:sz w:val="22"/>
              </w:rPr>
              <w:t>)</w:t>
            </w:r>
          </w:p>
        </w:tc>
        <w:tc>
          <w:tcPr>
            <w:tcW w:w="3504" w:type="dxa"/>
          </w:tcPr>
          <w:p w:rsidR="00E2477E" w:rsidRPr="001769D7" w:rsidRDefault="00E2477E" w:rsidP="00DE78ED">
            <w:pPr>
              <w:rPr>
                <w:rFonts w:asciiTheme="minorHAnsi" w:hAnsiTheme="minorHAnsi" w:cstheme="minorHAnsi"/>
                <w:sz w:val="22"/>
              </w:rPr>
            </w:pPr>
            <w:r>
              <w:rPr>
                <w:rFonts w:asciiTheme="minorHAnsi" w:hAnsiTheme="minorHAnsi" w:cstheme="minorHAnsi"/>
                <w:sz w:val="22"/>
              </w:rPr>
              <w:lastRenderedPageBreak/>
              <w:t>See AMR Indicator 24</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lastRenderedPageBreak/>
              <w:t>HP12</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Indoor space</w:t>
            </w:r>
          </w:p>
        </w:tc>
        <w:tc>
          <w:tcPr>
            <w:tcW w:w="3503" w:type="dxa"/>
          </w:tcPr>
          <w:p w:rsidR="00E2477E" w:rsidRPr="005B25CF" w:rsidRDefault="00E2477E" w:rsidP="009B6DBE">
            <w:pPr>
              <w:rPr>
                <w:rFonts w:asciiTheme="minorHAnsi" w:hAnsiTheme="minorHAnsi" w:cstheme="minorHAnsi"/>
                <w:sz w:val="22"/>
              </w:rPr>
            </w:pPr>
            <w:r>
              <w:rPr>
                <w:rFonts w:asciiTheme="minorHAnsi" w:hAnsiTheme="minorHAnsi" w:cstheme="minorHAnsi"/>
                <w:sz w:val="22"/>
              </w:rPr>
              <w:t xml:space="preserve">Nil applications approved that involve the creation of a self-contained dwelling that has less than </w:t>
            </w:r>
            <w:r w:rsidRPr="005B25CF">
              <w:rPr>
                <w:rFonts w:asciiTheme="minorHAnsi" w:hAnsiTheme="minorHAnsi" w:cstheme="minorHAnsi"/>
                <w:sz w:val="22"/>
              </w:rPr>
              <w:t>39m</w:t>
            </w:r>
            <w:r w:rsidRPr="000018D5">
              <w:rPr>
                <w:rFonts w:asciiTheme="minorHAnsi" w:hAnsiTheme="minorHAnsi" w:cstheme="minorHAnsi"/>
                <w:sz w:val="22"/>
                <w:vertAlign w:val="superscript"/>
              </w:rPr>
              <w:t>2</w:t>
            </w:r>
            <w:r w:rsidRPr="005B25CF">
              <w:rPr>
                <w:rFonts w:asciiTheme="minorHAnsi" w:hAnsiTheme="minorHAnsi" w:cstheme="minorHAnsi"/>
                <w:sz w:val="22"/>
              </w:rPr>
              <w:t xml:space="preserve"> of accommodation</w:t>
            </w:r>
          </w:p>
          <w:p w:rsidR="00E2477E" w:rsidRDefault="00E2477E" w:rsidP="009B6DBE">
            <w:pPr>
              <w:rPr>
                <w:rFonts w:asciiTheme="minorHAnsi" w:hAnsiTheme="minorHAnsi" w:cstheme="minorHAnsi"/>
                <w:sz w:val="22"/>
              </w:rPr>
            </w:pPr>
            <w:proofErr w:type="gramStart"/>
            <w:r>
              <w:rPr>
                <w:rFonts w:asciiTheme="minorHAnsi" w:hAnsiTheme="minorHAnsi" w:cstheme="minorHAnsi"/>
                <w:sz w:val="22"/>
              </w:rPr>
              <w:t>measured</w:t>
            </w:r>
            <w:proofErr w:type="gramEnd"/>
            <w:r>
              <w:rPr>
                <w:rFonts w:asciiTheme="minorHAnsi" w:hAnsiTheme="minorHAnsi" w:cstheme="minorHAnsi"/>
                <w:sz w:val="22"/>
              </w:rPr>
              <w:t xml:space="preserve"> internally (i.e. gross internal </w:t>
            </w:r>
            <w:proofErr w:type="spellStart"/>
            <w:r>
              <w:rPr>
                <w:rFonts w:asciiTheme="minorHAnsi" w:hAnsiTheme="minorHAnsi" w:cstheme="minorHAnsi"/>
                <w:sz w:val="22"/>
              </w:rPr>
              <w:t>floorspace</w:t>
            </w:r>
            <w:proofErr w:type="spellEnd"/>
            <w:r>
              <w:rPr>
                <w:rFonts w:asciiTheme="minorHAnsi" w:hAnsiTheme="minorHAnsi" w:cstheme="minorHAnsi"/>
                <w:sz w:val="22"/>
              </w:rPr>
              <w:t xml:space="preserve">) </w:t>
            </w:r>
            <w:r w:rsidRPr="00AB27D6">
              <w:rPr>
                <w:rFonts w:asciiTheme="minorHAnsi" w:hAnsiTheme="minorHAnsi" w:cstheme="minorHAnsi"/>
                <w:sz w:val="22"/>
              </w:rPr>
              <w:t>(AMR to assess a sample of new home</w:t>
            </w:r>
            <w:r w:rsidR="00DE78ED">
              <w:rPr>
                <w:rFonts w:asciiTheme="minorHAnsi" w:hAnsiTheme="minorHAnsi" w:cstheme="minorHAnsi"/>
                <w:sz w:val="22"/>
              </w:rPr>
              <w:t xml:space="preserve">s completed during the monitoring </w:t>
            </w:r>
            <w:r w:rsidRPr="00AB27D6">
              <w:rPr>
                <w:rFonts w:asciiTheme="minorHAnsi" w:hAnsiTheme="minorHAnsi" w:cstheme="minorHAnsi"/>
                <w:sz w:val="22"/>
              </w:rPr>
              <w:t>year</w:t>
            </w:r>
            <w:r w:rsidR="00DE78ED">
              <w:rPr>
                <w:rFonts w:asciiTheme="minorHAnsi" w:hAnsiTheme="minorHAnsi" w:cstheme="minorHAnsi"/>
                <w:sz w:val="22"/>
              </w:rPr>
              <w:t>.</w:t>
            </w:r>
            <w:r w:rsidRPr="00AB27D6">
              <w:rPr>
                <w:rFonts w:asciiTheme="minorHAnsi" w:hAnsiTheme="minorHAnsi" w:cstheme="minorHAnsi"/>
                <w:sz w:val="22"/>
              </w:rPr>
              <w:t>)</w:t>
            </w:r>
          </w:p>
        </w:tc>
        <w:tc>
          <w:tcPr>
            <w:tcW w:w="3504" w:type="dxa"/>
          </w:tcPr>
          <w:p w:rsidR="00E2477E" w:rsidRPr="00AB27D6" w:rsidRDefault="00AB27D6" w:rsidP="00AB27D6">
            <w:pPr>
              <w:rPr>
                <w:rFonts w:asciiTheme="minorHAnsi" w:hAnsiTheme="minorHAnsi" w:cstheme="minorHAnsi"/>
                <w:sz w:val="22"/>
              </w:rPr>
            </w:pPr>
            <w:r>
              <w:rPr>
                <w:rFonts w:asciiTheme="minorHAnsi" w:hAnsiTheme="minorHAnsi" w:cstheme="minorHAnsi"/>
                <w:sz w:val="22"/>
              </w:rPr>
              <w:t>Four</w:t>
            </w:r>
            <w:r w:rsidRPr="0038285B">
              <w:rPr>
                <w:rFonts w:asciiTheme="minorHAnsi" w:hAnsiTheme="minorHAnsi" w:cstheme="minorHAnsi"/>
                <w:sz w:val="22"/>
              </w:rPr>
              <w:t xml:space="preserve"> C3 residential developments (excluding certificates of lawfulness) were completed in 2013/14 where planning permission was granted after the adoption of the Sites and Housing Plan in February 2013.</w:t>
            </w:r>
            <w:r>
              <w:rPr>
                <w:rFonts w:asciiTheme="minorHAnsi" w:hAnsiTheme="minorHAnsi" w:cstheme="minorHAnsi"/>
                <w:sz w:val="22"/>
              </w:rPr>
              <w:t xml:space="preserve"> None of these involved the creation of a self-contained dwelling with a gross internal </w:t>
            </w:r>
            <w:proofErr w:type="spellStart"/>
            <w:r>
              <w:rPr>
                <w:rFonts w:asciiTheme="minorHAnsi" w:hAnsiTheme="minorHAnsi" w:cstheme="minorHAnsi"/>
                <w:sz w:val="22"/>
              </w:rPr>
              <w:t>floorspace</w:t>
            </w:r>
            <w:proofErr w:type="spellEnd"/>
            <w:r>
              <w:rPr>
                <w:rFonts w:asciiTheme="minorHAnsi" w:hAnsiTheme="minorHAnsi" w:cstheme="minorHAnsi"/>
                <w:sz w:val="22"/>
              </w:rPr>
              <w:t xml:space="preserve"> of less than 39m</w:t>
            </w:r>
            <w:r>
              <w:rPr>
                <w:rFonts w:asciiTheme="minorHAnsi" w:hAnsiTheme="minorHAnsi" w:cstheme="minorHAnsi"/>
                <w:sz w:val="22"/>
                <w:vertAlign w:val="superscript"/>
              </w:rPr>
              <w:t>2</w:t>
            </w:r>
            <w:r>
              <w:rPr>
                <w:rFonts w:asciiTheme="minorHAnsi" w:hAnsiTheme="minorHAnsi" w:cstheme="minorHAnsi"/>
                <w:sz w:val="22"/>
              </w:rPr>
              <w:t xml:space="preserve">. </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HP13</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Outdoor space</w:t>
            </w:r>
          </w:p>
        </w:tc>
        <w:tc>
          <w:tcPr>
            <w:tcW w:w="3503" w:type="dxa"/>
          </w:tcPr>
          <w:p w:rsidR="00E2477E" w:rsidRDefault="00E2477E" w:rsidP="009B6DBE">
            <w:pPr>
              <w:rPr>
                <w:rFonts w:asciiTheme="minorHAnsi" w:hAnsiTheme="minorHAnsi" w:cstheme="minorHAnsi"/>
                <w:sz w:val="22"/>
              </w:rPr>
            </w:pPr>
            <w:r>
              <w:rPr>
                <w:rFonts w:asciiTheme="minorHAnsi" w:hAnsiTheme="minorHAnsi" w:cstheme="minorHAnsi"/>
                <w:sz w:val="22"/>
              </w:rPr>
              <w:t xml:space="preserve">No target proposed for </w:t>
            </w:r>
            <w:r w:rsidR="00DE78ED">
              <w:rPr>
                <w:rFonts w:asciiTheme="minorHAnsi" w:hAnsiTheme="minorHAnsi" w:cstheme="minorHAnsi"/>
                <w:sz w:val="22"/>
              </w:rPr>
              <w:t xml:space="preserve">this policy. </w:t>
            </w:r>
            <w:r>
              <w:rPr>
                <w:rFonts w:asciiTheme="minorHAnsi" w:hAnsiTheme="minorHAnsi" w:cstheme="minorHAnsi"/>
                <w:sz w:val="22"/>
              </w:rPr>
              <w:t xml:space="preserve">Implementation depends heavily on the site </w:t>
            </w:r>
            <w:proofErr w:type="gramStart"/>
            <w:r w:rsidR="00DE78ED">
              <w:rPr>
                <w:rFonts w:asciiTheme="minorHAnsi" w:hAnsiTheme="minorHAnsi" w:cstheme="minorHAnsi"/>
                <w:sz w:val="22"/>
              </w:rPr>
              <w:t>context,</w:t>
            </w:r>
            <w:proofErr w:type="gramEnd"/>
            <w:r w:rsidR="00DE78ED">
              <w:rPr>
                <w:rFonts w:asciiTheme="minorHAnsi" w:hAnsiTheme="minorHAnsi" w:cstheme="minorHAnsi"/>
                <w:sz w:val="22"/>
              </w:rPr>
              <w:t xml:space="preserve"> therefore a </w:t>
            </w:r>
            <w:r>
              <w:rPr>
                <w:rFonts w:asciiTheme="minorHAnsi" w:hAnsiTheme="minorHAnsi" w:cstheme="minorHAnsi"/>
                <w:sz w:val="22"/>
              </w:rPr>
              <w:t xml:space="preserve">target would not be </w:t>
            </w:r>
            <w:r w:rsidRPr="007D3DED">
              <w:rPr>
                <w:rFonts w:asciiTheme="minorHAnsi" w:hAnsiTheme="minorHAnsi" w:cstheme="minorHAnsi"/>
                <w:sz w:val="22"/>
              </w:rPr>
              <w:t>appropriate.</w:t>
            </w:r>
          </w:p>
        </w:tc>
        <w:tc>
          <w:tcPr>
            <w:tcW w:w="3504" w:type="dxa"/>
          </w:tcPr>
          <w:p w:rsidR="00E2477E" w:rsidRDefault="00E2477E" w:rsidP="009B6DBE">
            <w:pPr>
              <w:rPr>
                <w:rFonts w:asciiTheme="minorHAnsi" w:hAnsiTheme="minorHAnsi" w:cstheme="minorHAnsi"/>
                <w:sz w:val="22"/>
              </w:rPr>
            </w:pPr>
            <w:r w:rsidRPr="007D3DED">
              <w:rPr>
                <w:rFonts w:asciiTheme="minorHAnsi" w:hAnsiTheme="minorHAnsi" w:cstheme="minorHAnsi"/>
                <w:sz w:val="22"/>
              </w:rPr>
              <w:t>Monitoring is not required.</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HP14</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Privacy and daylight</w:t>
            </w:r>
          </w:p>
        </w:tc>
        <w:tc>
          <w:tcPr>
            <w:tcW w:w="3503" w:type="dxa"/>
          </w:tcPr>
          <w:p w:rsidR="00E2477E" w:rsidRDefault="00E2477E" w:rsidP="009B6DBE">
            <w:pPr>
              <w:tabs>
                <w:tab w:val="left" w:pos="1080"/>
              </w:tabs>
              <w:rPr>
                <w:rFonts w:asciiTheme="minorHAnsi" w:hAnsiTheme="minorHAnsi" w:cstheme="minorHAnsi"/>
                <w:sz w:val="22"/>
              </w:rPr>
            </w:pPr>
            <w:r>
              <w:rPr>
                <w:rFonts w:asciiTheme="minorHAnsi" w:hAnsiTheme="minorHAnsi" w:cstheme="minorHAnsi"/>
                <w:sz w:val="22"/>
              </w:rPr>
              <w:t xml:space="preserve">No target proposed for </w:t>
            </w:r>
            <w:r w:rsidR="00DE78ED">
              <w:rPr>
                <w:rFonts w:asciiTheme="minorHAnsi" w:hAnsiTheme="minorHAnsi" w:cstheme="minorHAnsi"/>
                <w:sz w:val="22"/>
              </w:rPr>
              <w:t xml:space="preserve">this policy. </w:t>
            </w:r>
            <w:r>
              <w:rPr>
                <w:rFonts w:asciiTheme="minorHAnsi" w:hAnsiTheme="minorHAnsi" w:cstheme="minorHAnsi"/>
                <w:sz w:val="22"/>
              </w:rPr>
              <w:t xml:space="preserve">Implementation depends heavily on the site </w:t>
            </w:r>
            <w:proofErr w:type="gramStart"/>
            <w:r w:rsidR="00DE78ED">
              <w:rPr>
                <w:rFonts w:asciiTheme="minorHAnsi" w:hAnsiTheme="minorHAnsi" w:cstheme="minorHAnsi"/>
                <w:sz w:val="22"/>
              </w:rPr>
              <w:t>context,</w:t>
            </w:r>
            <w:proofErr w:type="gramEnd"/>
            <w:r w:rsidR="00DE78ED">
              <w:rPr>
                <w:rFonts w:asciiTheme="minorHAnsi" w:hAnsiTheme="minorHAnsi" w:cstheme="minorHAnsi"/>
                <w:sz w:val="22"/>
              </w:rPr>
              <w:t xml:space="preserve"> therefore a </w:t>
            </w:r>
            <w:r>
              <w:rPr>
                <w:rFonts w:asciiTheme="minorHAnsi" w:hAnsiTheme="minorHAnsi" w:cstheme="minorHAnsi"/>
                <w:sz w:val="22"/>
              </w:rPr>
              <w:t xml:space="preserve">target would not be </w:t>
            </w:r>
            <w:r w:rsidRPr="007D3DED">
              <w:rPr>
                <w:rFonts w:asciiTheme="minorHAnsi" w:hAnsiTheme="minorHAnsi" w:cstheme="minorHAnsi"/>
                <w:sz w:val="22"/>
              </w:rPr>
              <w:t>appropriate.</w:t>
            </w:r>
          </w:p>
        </w:tc>
        <w:tc>
          <w:tcPr>
            <w:tcW w:w="3504" w:type="dxa"/>
          </w:tcPr>
          <w:p w:rsidR="00E2477E" w:rsidRDefault="00E2477E" w:rsidP="009B6DBE">
            <w:pPr>
              <w:rPr>
                <w:rFonts w:asciiTheme="minorHAnsi" w:hAnsiTheme="minorHAnsi" w:cstheme="minorHAnsi"/>
                <w:sz w:val="22"/>
              </w:rPr>
            </w:pPr>
            <w:r w:rsidRPr="007D3DED">
              <w:rPr>
                <w:rFonts w:asciiTheme="minorHAnsi" w:hAnsiTheme="minorHAnsi" w:cstheme="minorHAnsi"/>
                <w:sz w:val="22"/>
              </w:rPr>
              <w:t>Monitoring is not required.</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HP15</w:t>
            </w:r>
          </w:p>
        </w:tc>
        <w:tc>
          <w:tcPr>
            <w:tcW w:w="1276" w:type="dxa"/>
            <w:shd w:val="clear" w:color="auto" w:fill="auto"/>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Residential cycle parking</w:t>
            </w:r>
          </w:p>
        </w:tc>
        <w:tc>
          <w:tcPr>
            <w:tcW w:w="3503" w:type="dxa"/>
            <w:shd w:val="clear" w:color="auto" w:fill="auto"/>
          </w:tcPr>
          <w:p w:rsidR="00E2477E" w:rsidRDefault="00E2477E" w:rsidP="009B6DBE">
            <w:pPr>
              <w:rPr>
                <w:rFonts w:asciiTheme="minorHAnsi" w:hAnsiTheme="minorHAnsi" w:cstheme="minorHAnsi"/>
                <w:sz w:val="22"/>
              </w:rPr>
            </w:pPr>
            <w:r>
              <w:rPr>
                <w:rFonts w:asciiTheme="minorHAnsi" w:hAnsiTheme="minorHAnsi" w:cstheme="minorHAnsi"/>
                <w:sz w:val="22"/>
              </w:rPr>
              <w:t xml:space="preserve">100% of approved planning applications for any of the residential </w:t>
            </w:r>
            <w:r w:rsidR="007917B1">
              <w:rPr>
                <w:rFonts w:asciiTheme="minorHAnsi" w:hAnsiTheme="minorHAnsi" w:cstheme="minorHAnsi"/>
                <w:sz w:val="22"/>
              </w:rPr>
              <w:t xml:space="preserve">developments included </w:t>
            </w:r>
            <w:r>
              <w:rPr>
                <w:rFonts w:asciiTheme="minorHAnsi" w:hAnsiTheme="minorHAnsi" w:cstheme="minorHAnsi"/>
                <w:sz w:val="22"/>
              </w:rPr>
              <w:t xml:space="preserve">in the policy to comply with minimum cycle </w:t>
            </w:r>
            <w:r w:rsidR="007917B1">
              <w:rPr>
                <w:rFonts w:asciiTheme="minorHAnsi" w:hAnsiTheme="minorHAnsi" w:cstheme="minorHAnsi"/>
                <w:sz w:val="22"/>
              </w:rPr>
              <w:t xml:space="preserve">parking standards. </w:t>
            </w:r>
            <w:r w:rsidRPr="0038285B">
              <w:rPr>
                <w:rFonts w:asciiTheme="minorHAnsi" w:hAnsiTheme="minorHAnsi" w:cstheme="minorHAnsi"/>
                <w:sz w:val="22"/>
              </w:rPr>
              <w:t>(AMR to assess a sample of new homes completed during the financial year.)</w:t>
            </w:r>
          </w:p>
        </w:tc>
        <w:tc>
          <w:tcPr>
            <w:tcW w:w="3504" w:type="dxa"/>
          </w:tcPr>
          <w:p w:rsidR="00E2477E" w:rsidRDefault="0038285B" w:rsidP="0038285B">
            <w:pPr>
              <w:rPr>
                <w:rFonts w:asciiTheme="minorHAnsi" w:hAnsiTheme="minorHAnsi" w:cstheme="minorHAnsi"/>
                <w:sz w:val="22"/>
              </w:rPr>
            </w:pPr>
            <w:r>
              <w:rPr>
                <w:rFonts w:asciiTheme="minorHAnsi" w:hAnsiTheme="minorHAnsi" w:cstheme="minorHAnsi"/>
                <w:sz w:val="22"/>
              </w:rPr>
              <w:t>Four</w:t>
            </w:r>
            <w:r w:rsidRPr="0038285B">
              <w:rPr>
                <w:rFonts w:asciiTheme="minorHAnsi" w:hAnsiTheme="minorHAnsi" w:cstheme="minorHAnsi"/>
                <w:sz w:val="22"/>
              </w:rPr>
              <w:t xml:space="preserve"> C3 residential developments (excluding certificates of lawfulness) were completed in 2013/14 where planning permission was granted after the adoption of the Sites and Housing Plan in February 2013.</w:t>
            </w:r>
            <w:r>
              <w:rPr>
                <w:rFonts w:asciiTheme="minorHAnsi" w:hAnsiTheme="minorHAnsi" w:cstheme="minorHAnsi"/>
                <w:sz w:val="22"/>
              </w:rPr>
              <w:t xml:space="preserve"> 100% of these complied with minimum </w:t>
            </w:r>
            <w:r w:rsidR="00AB27D6">
              <w:rPr>
                <w:rFonts w:asciiTheme="minorHAnsi" w:hAnsiTheme="minorHAnsi" w:cstheme="minorHAnsi"/>
                <w:sz w:val="22"/>
              </w:rPr>
              <w:t xml:space="preserve">cycle </w:t>
            </w:r>
            <w:r>
              <w:rPr>
                <w:rFonts w:asciiTheme="minorHAnsi" w:hAnsiTheme="minorHAnsi" w:cstheme="minorHAnsi"/>
                <w:sz w:val="22"/>
              </w:rPr>
              <w:t>parking standards, either as detailed in the application or as enforced by condition.</w:t>
            </w:r>
          </w:p>
        </w:tc>
      </w:tr>
      <w:tr w:rsidR="00E2477E" w:rsidRPr="001769D7" w:rsidTr="009B6DBE">
        <w:tc>
          <w:tcPr>
            <w:tcW w:w="959" w:type="dxa"/>
          </w:tcPr>
          <w:p w:rsidR="00E2477E" w:rsidRPr="00D71D7D" w:rsidRDefault="00E2477E" w:rsidP="00D71D7D">
            <w:pPr>
              <w:jc w:val="center"/>
              <w:rPr>
                <w:rFonts w:asciiTheme="minorHAnsi" w:hAnsiTheme="minorHAnsi" w:cstheme="minorHAnsi"/>
                <w:b/>
                <w:color w:val="31849B" w:themeColor="accent5" w:themeShade="BF"/>
                <w:sz w:val="22"/>
              </w:rPr>
            </w:pPr>
            <w:r w:rsidRPr="00D71D7D">
              <w:rPr>
                <w:rFonts w:asciiTheme="minorHAnsi" w:hAnsiTheme="minorHAnsi" w:cstheme="minorHAnsi"/>
                <w:b/>
                <w:color w:val="31849B" w:themeColor="accent5" w:themeShade="BF"/>
                <w:sz w:val="22"/>
              </w:rPr>
              <w:t>HP16</w:t>
            </w:r>
          </w:p>
        </w:tc>
        <w:tc>
          <w:tcPr>
            <w:tcW w:w="1276" w:type="dxa"/>
          </w:tcPr>
          <w:p w:rsidR="00E2477E" w:rsidRPr="00D71D7D" w:rsidRDefault="00E2477E" w:rsidP="009B6DBE">
            <w:pPr>
              <w:rPr>
                <w:rFonts w:asciiTheme="minorHAnsi" w:hAnsiTheme="minorHAnsi" w:cstheme="minorHAnsi"/>
                <w:color w:val="215868" w:themeColor="accent5" w:themeShade="80"/>
                <w:sz w:val="22"/>
              </w:rPr>
            </w:pPr>
            <w:r w:rsidRPr="00D71D7D">
              <w:rPr>
                <w:rFonts w:asciiTheme="minorHAnsi" w:hAnsiTheme="minorHAnsi" w:cstheme="minorHAnsi"/>
                <w:color w:val="215868" w:themeColor="accent5" w:themeShade="80"/>
                <w:sz w:val="22"/>
              </w:rPr>
              <w:t>Residential car parking</w:t>
            </w:r>
          </w:p>
        </w:tc>
        <w:tc>
          <w:tcPr>
            <w:tcW w:w="3503" w:type="dxa"/>
            <w:shd w:val="clear" w:color="auto" w:fill="auto"/>
          </w:tcPr>
          <w:p w:rsidR="00E2477E" w:rsidRPr="0038285B" w:rsidRDefault="00E2477E" w:rsidP="009B6DBE">
            <w:pPr>
              <w:rPr>
                <w:rFonts w:asciiTheme="minorHAnsi" w:hAnsiTheme="minorHAnsi" w:cstheme="minorHAnsi"/>
                <w:sz w:val="22"/>
              </w:rPr>
            </w:pPr>
            <w:r>
              <w:rPr>
                <w:rFonts w:asciiTheme="minorHAnsi" w:hAnsiTheme="minorHAnsi" w:cstheme="minorHAnsi"/>
                <w:sz w:val="22"/>
              </w:rPr>
              <w:t xml:space="preserve">Nil approved planning </w:t>
            </w:r>
            <w:r w:rsidRPr="007D3DED">
              <w:rPr>
                <w:rFonts w:asciiTheme="minorHAnsi" w:hAnsiTheme="minorHAnsi" w:cstheme="minorHAnsi"/>
                <w:sz w:val="22"/>
              </w:rPr>
              <w:t>applications for any of</w:t>
            </w:r>
            <w:r>
              <w:rPr>
                <w:rFonts w:asciiTheme="minorHAnsi" w:hAnsiTheme="minorHAnsi" w:cstheme="minorHAnsi"/>
                <w:sz w:val="22"/>
              </w:rPr>
              <w:t xml:space="preserve"> </w:t>
            </w:r>
            <w:r w:rsidR="007917B1">
              <w:rPr>
                <w:rFonts w:asciiTheme="minorHAnsi" w:hAnsiTheme="minorHAnsi" w:cstheme="minorHAnsi"/>
                <w:sz w:val="22"/>
              </w:rPr>
              <w:t xml:space="preserve">the residential </w:t>
            </w:r>
            <w:r>
              <w:rPr>
                <w:rFonts w:asciiTheme="minorHAnsi" w:hAnsiTheme="minorHAnsi" w:cstheme="minorHAnsi"/>
                <w:sz w:val="22"/>
              </w:rPr>
              <w:t xml:space="preserve">developments included </w:t>
            </w:r>
            <w:r w:rsidRPr="007D3DED">
              <w:rPr>
                <w:rFonts w:asciiTheme="minorHAnsi" w:hAnsiTheme="minorHAnsi" w:cstheme="minorHAnsi"/>
                <w:sz w:val="22"/>
              </w:rPr>
              <w:t>in the policy to exceed</w:t>
            </w:r>
            <w:r>
              <w:rPr>
                <w:rFonts w:asciiTheme="minorHAnsi" w:hAnsiTheme="minorHAnsi" w:cstheme="minorHAnsi"/>
                <w:sz w:val="22"/>
              </w:rPr>
              <w:t xml:space="preserve"> </w:t>
            </w:r>
            <w:r w:rsidRPr="007D3DED">
              <w:rPr>
                <w:rFonts w:asciiTheme="minorHAnsi" w:hAnsiTheme="minorHAnsi" w:cstheme="minorHAnsi"/>
                <w:sz w:val="22"/>
              </w:rPr>
              <w:t>the maximum numb</w:t>
            </w:r>
            <w:r>
              <w:rPr>
                <w:rFonts w:asciiTheme="minorHAnsi" w:hAnsiTheme="minorHAnsi" w:cstheme="minorHAnsi"/>
                <w:sz w:val="22"/>
              </w:rPr>
              <w:t xml:space="preserve">er of </w:t>
            </w:r>
            <w:r w:rsidR="007917B1">
              <w:rPr>
                <w:rFonts w:asciiTheme="minorHAnsi" w:hAnsiTheme="minorHAnsi" w:cstheme="minorHAnsi"/>
                <w:sz w:val="22"/>
              </w:rPr>
              <w:t xml:space="preserve">parking spaces </w:t>
            </w:r>
            <w:r w:rsidRPr="007D3DED">
              <w:rPr>
                <w:rFonts w:asciiTheme="minorHAnsi" w:hAnsiTheme="minorHAnsi" w:cstheme="minorHAnsi"/>
                <w:sz w:val="22"/>
              </w:rPr>
              <w:t>permissible.</w:t>
            </w:r>
            <w:r>
              <w:rPr>
                <w:rFonts w:asciiTheme="minorHAnsi" w:hAnsiTheme="minorHAnsi" w:cstheme="minorHAnsi"/>
                <w:sz w:val="22"/>
              </w:rPr>
              <w:t xml:space="preserve"> </w:t>
            </w:r>
            <w:r w:rsidRPr="0038285B">
              <w:rPr>
                <w:rFonts w:asciiTheme="minorHAnsi" w:hAnsiTheme="minorHAnsi" w:cstheme="minorHAnsi"/>
                <w:sz w:val="22"/>
              </w:rPr>
              <w:t>(AMR to assess a sample of new</w:t>
            </w:r>
            <w:r w:rsidR="007917B1">
              <w:rPr>
                <w:rFonts w:asciiTheme="minorHAnsi" w:hAnsiTheme="minorHAnsi" w:cstheme="minorHAnsi"/>
                <w:sz w:val="22"/>
              </w:rPr>
              <w:t xml:space="preserve"> homes completed </w:t>
            </w:r>
            <w:r w:rsidRPr="0038285B">
              <w:rPr>
                <w:rFonts w:asciiTheme="minorHAnsi" w:hAnsiTheme="minorHAnsi" w:cstheme="minorHAnsi"/>
                <w:sz w:val="22"/>
              </w:rPr>
              <w:t xml:space="preserve">during the financial year. For </w:t>
            </w:r>
            <w:r w:rsidR="007917B1">
              <w:rPr>
                <w:rFonts w:asciiTheme="minorHAnsi" w:hAnsiTheme="minorHAnsi" w:cstheme="minorHAnsi"/>
                <w:sz w:val="22"/>
              </w:rPr>
              <w:t xml:space="preserve">the purposes of monitoring, the </w:t>
            </w:r>
            <w:r w:rsidRPr="0038285B">
              <w:rPr>
                <w:rFonts w:asciiTheme="minorHAnsi" w:hAnsiTheme="minorHAnsi" w:cstheme="minorHAnsi"/>
                <w:sz w:val="22"/>
              </w:rPr>
              <w:t>maximum number of par</w:t>
            </w:r>
            <w:r w:rsidR="007917B1">
              <w:rPr>
                <w:rFonts w:asciiTheme="minorHAnsi" w:hAnsiTheme="minorHAnsi" w:cstheme="minorHAnsi"/>
                <w:sz w:val="22"/>
              </w:rPr>
              <w:t xml:space="preserve">king spaces permissible will be </w:t>
            </w:r>
            <w:r w:rsidRPr="0038285B">
              <w:rPr>
                <w:rFonts w:asciiTheme="minorHAnsi" w:hAnsiTheme="minorHAnsi" w:cstheme="minorHAnsi"/>
                <w:sz w:val="22"/>
              </w:rPr>
              <w:t>highest number permitted in the matrix in Appendix 8, irrespective of the allocated/unallocated</w:t>
            </w:r>
          </w:p>
          <w:p w:rsidR="00E2477E" w:rsidRDefault="00E2477E" w:rsidP="009B6DBE">
            <w:pPr>
              <w:rPr>
                <w:rFonts w:asciiTheme="minorHAnsi" w:hAnsiTheme="minorHAnsi" w:cstheme="minorHAnsi"/>
                <w:sz w:val="22"/>
              </w:rPr>
            </w:pPr>
            <w:proofErr w:type="gramStart"/>
            <w:r w:rsidRPr="0038285B">
              <w:rPr>
                <w:rFonts w:asciiTheme="minorHAnsi" w:hAnsiTheme="minorHAnsi" w:cstheme="minorHAnsi"/>
                <w:sz w:val="22"/>
              </w:rPr>
              <w:t>split</w:t>
            </w:r>
            <w:proofErr w:type="gramEnd"/>
            <w:r w:rsidRPr="0038285B">
              <w:rPr>
                <w:rFonts w:asciiTheme="minorHAnsi" w:hAnsiTheme="minorHAnsi" w:cstheme="minorHAnsi"/>
                <w:sz w:val="22"/>
              </w:rPr>
              <w:t>, but taking account of the mix of unit sizes</w:t>
            </w:r>
            <w:r w:rsidR="007917B1">
              <w:rPr>
                <w:rFonts w:asciiTheme="minorHAnsi" w:hAnsiTheme="minorHAnsi" w:cstheme="minorHAnsi"/>
                <w:sz w:val="22"/>
              </w:rPr>
              <w:t>.</w:t>
            </w:r>
            <w:r w:rsidRPr="0038285B">
              <w:rPr>
                <w:rFonts w:asciiTheme="minorHAnsi" w:hAnsiTheme="minorHAnsi" w:cstheme="minorHAnsi"/>
                <w:sz w:val="22"/>
              </w:rPr>
              <w:t>)</w:t>
            </w:r>
          </w:p>
        </w:tc>
        <w:tc>
          <w:tcPr>
            <w:tcW w:w="3504" w:type="dxa"/>
          </w:tcPr>
          <w:p w:rsidR="00E2477E" w:rsidRDefault="0038285B" w:rsidP="003842A7">
            <w:pPr>
              <w:rPr>
                <w:rFonts w:asciiTheme="minorHAnsi" w:hAnsiTheme="minorHAnsi" w:cstheme="minorHAnsi"/>
                <w:sz w:val="22"/>
              </w:rPr>
            </w:pPr>
            <w:r>
              <w:rPr>
                <w:rFonts w:asciiTheme="minorHAnsi" w:hAnsiTheme="minorHAnsi" w:cstheme="minorHAnsi"/>
                <w:sz w:val="22"/>
              </w:rPr>
              <w:t>Four</w:t>
            </w:r>
            <w:r w:rsidRPr="0038285B">
              <w:rPr>
                <w:rFonts w:asciiTheme="minorHAnsi" w:hAnsiTheme="minorHAnsi" w:cstheme="minorHAnsi"/>
                <w:sz w:val="22"/>
              </w:rPr>
              <w:t xml:space="preserve"> C3 residential developments (excluding certificates of lawfulness) were completed in 2013/14 where planning permission was granted after the adoption of the Sites and Housing Plan in February 2013.</w:t>
            </w:r>
            <w:r>
              <w:rPr>
                <w:rFonts w:asciiTheme="minorHAnsi" w:hAnsiTheme="minorHAnsi" w:cstheme="minorHAnsi"/>
                <w:sz w:val="22"/>
              </w:rPr>
              <w:t xml:space="preserve"> None of these developments exceeded the maximum number of parking spaces permissible.</w:t>
            </w:r>
          </w:p>
        </w:tc>
      </w:tr>
    </w:tbl>
    <w:p w:rsidR="00E2477E" w:rsidRPr="001769D7" w:rsidRDefault="00E2477E" w:rsidP="00E2477E">
      <w:pPr>
        <w:rPr>
          <w:rFonts w:asciiTheme="minorHAnsi" w:hAnsiTheme="minorHAnsi" w:cstheme="minorHAnsi"/>
          <w:sz w:val="22"/>
        </w:rPr>
      </w:pPr>
    </w:p>
    <w:p w:rsidR="00E2477E" w:rsidRPr="008A22C6" w:rsidRDefault="00E2477E" w:rsidP="00E2477E"/>
    <w:p w:rsidR="00E63AD1" w:rsidRPr="000773F3" w:rsidRDefault="00E63AD1" w:rsidP="00F1483B">
      <w:pPr>
        <w:rPr>
          <w:rFonts w:asciiTheme="minorHAnsi" w:hAnsiTheme="minorHAnsi" w:cstheme="minorHAnsi"/>
          <w:b/>
          <w:color w:val="403152" w:themeColor="accent4" w:themeShade="80"/>
          <w:sz w:val="28"/>
          <w:szCs w:val="22"/>
        </w:rPr>
      </w:pPr>
    </w:p>
    <w:sectPr w:rsidR="00E63AD1" w:rsidRPr="00077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FF" w:rsidRDefault="000D3CFF" w:rsidP="00092402">
      <w:r>
        <w:separator/>
      </w:r>
    </w:p>
  </w:endnote>
  <w:endnote w:type="continuationSeparator" w:id="0">
    <w:p w:rsidR="000D3CFF" w:rsidRDefault="000D3CFF" w:rsidP="000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57B4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FF" w:rsidRPr="005D13D4" w:rsidRDefault="000D3CFF">
    <w:pPr>
      <w:pStyle w:val="Footer"/>
      <w:jc w:val="center"/>
      <w:rPr>
        <w:rFonts w:asciiTheme="minorHAnsi" w:hAnsiTheme="minorHAnsi" w:cstheme="minorHAnsi"/>
        <w:sz w:val="22"/>
      </w:rPr>
    </w:pPr>
  </w:p>
  <w:p w:rsidR="000D3CFF" w:rsidRDefault="000D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FF" w:rsidRDefault="000D3CFF" w:rsidP="00092402">
      <w:r>
        <w:separator/>
      </w:r>
    </w:p>
  </w:footnote>
  <w:footnote w:type="continuationSeparator" w:id="0">
    <w:p w:rsidR="000D3CFF" w:rsidRDefault="000D3CFF" w:rsidP="0009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FF" w:rsidRPr="00A53EAE" w:rsidRDefault="000D3CFF" w:rsidP="00A53EAE">
    <w:pPr>
      <w:pStyle w:val="Header"/>
      <w:jc w:val="center"/>
      <w:rPr>
        <w:rFonts w:asciiTheme="minorHAnsi" w:hAnsiTheme="minorHAnsi" w:cstheme="minorHAnsi"/>
        <w:color w:val="0D0D0D" w:themeColor="text1" w:themeTint="F2"/>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CE"/>
    <w:multiLevelType w:val="hybridMultilevel"/>
    <w:tmpl w:val="8BF25BC0"/>
    <w:lvl w:ilvl="0" w:tplc="337C6AB2">
      <w:start w:val="1"/>
      <w:numFmt w:val="bullet"/>
      <w:lvlText w:val=""/>
      <w:lvlJc w:val="left"/>
      <w:pPr>
        <w:ind w:left="1080" w:hanging="360"/>
      </w:pPr>
      <w:rPr>
        <w:rFonts w:ascii="Wingdings" w:hAnsi="Wingdings" w:hint="default"/>
        <w:color w:val="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103391"/>
    <w:multiLevelType w:val="multilevel"/>
    <w:tmpl w:val="EB6E8C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06878"/>
    <w:multiLevelType w:val="hybridMultilevel"/>
    <w:tmpl w:val="06B010C0"/>
    <w:lvl w:ilvl="0" w:tplc="0D3C3746">
      <w:start w:val="1"/>
      <w:numFmt w:val="decimal"/>
      <w:pStyle w:val="Text1"/>
      <w:lvlText w:val="%1."/>
      <w:lvlJc w:val="left"/>
      <w:pPr>
        <w:ind w:left="360" w:hanging="360"/>
      </w:pPr>
      <w:rPr>
        <w:rFonts w:ascii="Calibri" w:hAnsi="Calibri" w:hint="default"/>
        <w:b/>
        <w:i w:val="0"/>
        <w:color w:val="365F91" w:themeColor="accent1" w:themeShade="BF"/>
        <w:spacing w:val="0"/>
        <w:position w:val="0"/>
        <w:sz w:val="22"/>
        <w:szCs w:val="22"/>
        <w:vertAlign w:val="baseline"/>
      </w:rPr>
    </w:lvl>
    <w:lvl w:ilvl="1" w:tplc="08090001">
      <w:start w:val="1"/>
      <w:numFmt w:val="bullet"/>
      <w:lvlText w:val=""/>
      <w:lvlJc w:val="left"/>
      <w:pPr>
        <w:tabs>
          <w:tab w:val="num" w:pos="1440"/>
        </w:tabs>
        <w:ind w:left="1440" w:hanging="360"/>
      </w:pPr>
      <w:rPr>
        <w:rFonts w:ascii="Symbol" w:hAnsi="Symbol" w:hint="default"/>
        <w:color w:val="17365D" w:themeColor="text2" w:themeShade="BF"/>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1744F"/>
    <w:multiLevelType w:val="hybridMultilevel"/>
    <w:tmpl w:val="83D4DD60"/>
    <w:lvl w:ilvl="0" w:tplc="0AF8495A">
      <w:start w:val="1"/>
      <w:numFmt w:val="decimal"/>
      <w:lvlText w:val="5.%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C93A09"/>
    <w:multiLevelType w:val="hybridMultilevel"/>
    <w:tmpl w:val="6FFA28EE"/>
    <w:lvl w:ilvl="0" w:tplc="A7D06940">
      <w:start w:val="1"/>
      <w:numFmt w:val="bullet"/>
      <w:lvlText w:val=""/>
      <w:lvlJc w:val="left"/>
      <w:pPr>
        <w:ind w:left="1080" w:hanging="360"/>
      </w:pPr>
      <w:rPr>
        <w:rFonts w:ascii="Wingdings" w:hAnsi="Wingdings" w:hint="default"/>
        <w:color w:val="984806" w:themeColor="accent6"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EF0682"/>
    <w:multiLevelType w:val="hybridMultilevel"/>
    <w:tmpl w:val="9B1CFFBA"/>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C591C"/>
    <w:multiLevelType w:val="hybridMultilevel"/>
    <w:tmpl w:val="DC0A2C9E"/>
    <w:lvl w:ilvl="0" w:tplc="13725CC0">
      <w:start w:val="1"/>
      <w:numFmt w:val="bullet"/>
      <w:lvlText w:val=""/>
      <w:lvlJc w:val="left"/>
      <w:pPr>
        <w:ind w:left="1222" w:hanging="360"/>
      </w:pPr>
      <w:rPr>
        <w:rFonts w:ascii="Wingdings" w:hAnsi="Wingdings" w:hint="default"/>
        <w:color w:val="632423" w:themeColor="accent2" w:themeShade="8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nsid w:val="2802148B"/>
    <w:multiLevelType w:val="hybridMultilevel"/>
    <w:tmpl w:val="94506126"/>
    <w:lvl w:ilvl="0" w:tplc="C09C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5220D"/>
    <w:multiLevelType w:val="hybridMultilevel"/>
    <w:tmpl w:val="1B12E6B4"/>
    <w:lvl w:ilvl="0" w:tplc="D6A06CBC">
      <w:start w:val="1"/>
      <w:numFmt w:val="bullet"/>
      <w:lvlText w:val=""/>
      <w:lvlJc w:val="left"/>
      <w:pPr>
        <w:ind w:left="1125" w:hanging="360"/>
      </w:pPr>
      <w:rPr>
        <w:rFonts w:ascii="Wingdings" w:hAnsi="Wingdings" w:hint="default"/>
        <w:color w:val="5F497A" w:themeColor="accent4" w:themeShade="BF"/>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nsid w:val="348B75D0"/>
    <w:multiLevelType w:val="hybridMultilevel"/>
    <w:tmpl w:val="809EC6B8"/>
    <w:lvl w:ilvl="0" w:tplc="43963482">
      <w:start w:val="1"/>
      <w:numFmt w:val="bullet"/>
      <w:lvlText w:val=""/>
      <w:lvlJc w:val="left"/>
      <w:pPr>
        <w:ind w:left="765"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C06E7E"/>
    <w:multiLevelType w:val="hybridMultilevel"/>
    <w:tmpl w:val="689C973E"/>
    <w:lvl w:ilvl="0" w:tplc="43963482">
      <w:start w:val="1"/>
      <w:numFmt w:val="bullet"/>
      <w:lvlText w:val=""/>
      <w:lvlJc w:val="left"/>
      <w:pPr>
        <w:ind w:left="765"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F24C7"/>
    <w:multiLevelType w:val="hybridMultilevel"/>
    <w:tmpl w:val="5B2C3BE0"/>
    <w:lvl w:ilvl="0" w:tplc="D6A06CBC">
      <w:start w:val="1"/>
      <w:numFmt w:val="bullet"/>
      <w:lvlText w:val=""/>
      <w:lvlJc w:val="left"/>
      <w:pPr>
        <w:ind w:left="1080" w:hanging="360"/>
      </w:pPr>
      <w:rPr>
        <w:rFonts w:ascii="Wingdings" w:hAnsi="Wingdings" w:hint="default"/>
        <w:color w:val="5F497A" w:themeColor="accent4"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803B78"/>
    <w:multiLevelType w:val="hybridMultilevel"/>
    <w:tmpl w:val="7988F9BE"/>
    <w:lvl w:ilvl="0" w:tplc="84121E1C">
      <w:start w:val="3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EB1392"/>
    <w:multiLevelType w:val="hybridMultilevel"/>
    <w:tmpl w:val="DC765B04"/>
    <w:lvl w:ilvl="0" w:tplc="D6A06CBC">
      <w:start w:val="1"/>
      <w:numFmt w:val="bullet"/>
      <w:lvlText w:val=""/>
      <w:lvlJc w:val="left"/>
      <w:pPr>
        <w:ind w:left="720"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4843AF"/>
    <w:multiLevelType w:val="multilevel"/>
    <w:tmpl w:val="25D811B8"/>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BB93612"/>
    <w:multiLevelType w:val="hybridMultilevel"/>
    <w:tmpl w:val="1E9E07AE"/>
    <w:lvl w:ilvl="0" w:tplc="A7D06940">
      <w:start w:val="1"/>
      <w:numFmt w:val="bullet"/>
      <w:lvlText w:val=""/>
      <w:lvlJc w:val="left"/>
      <w:pPr>
        <w:ind w:left="1440" w:hanging="360"/>
      </w:pPr>
      <w:rPr>
        <w:rFonts w:ascii="Wingdings" w:hAnsi="Wingdings" w:hint="default"/>
        <w:color w:val="984806" w:themeColor="accent6"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E97AAD"/>
    <w:multiLevelType w:val="hybridMultilevel"/>
    <w:tmpl w:val="FE384C90"/>
    <w:lvl w:ilvl="0" w:tplc="43963482">
      <w:start w:val="1"/>
      <w:numFmt w:val="bullet"/>
      <w:lvlText w:val=""/>
      <w:lvlJc w:val="left"/>
      <w:pPr>
        <w:ind w:left="765"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A296D"/>
    <w:multiLevelType w:val="hybridMultilevel"/>
    <w:tmpl w:val="826E4480"/>
    <w:lvl w:ilvl="0" w:tplc="D6A06CBC">
      <w:start w:val="1"/>
      <w:numFmt w:val="bullet"/>
      <w:lvlText w:val=""/>
      <w:lvlJc w:val="left"/>
      <w:pPr>
        <w:ind w:left="720"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910E57"/>
    <w:multiLevelType w:val="hybridMultilevel"/>
    <w:tmpl w:val="B53A1ACA"/>
    <w:lvl w:ilvl="0" w:tplc="D6A06CBC">
      <w:start w:val="1"/>
      <w:numFmt w:val="bullet"/>
      <w:lvlText w:val=""/>
      <w:lvlJc w:val="left"/>
      <w:pPr>
        <w:ind w:left="1080" w:hanging="360"/>
      </w:pPr>
      <w:rPr>
        <w:rFonts w:ascii="Wingdings" w:hAnsi="Wingdings" w:hint="default"/>
        <w:color w:val="5F497A" w:themeColor="accent4"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9D6F19"/>
    <w:multiLevelType w:val="multilevel"/>
    <w:tmpl w:val="7DDE0E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3C70B1D"/>
    <w:multiLevelType w:val="hybridMultilevel"/>
    <w:tmpl w:val="2C24E7FE"/>
    <w:lvl w:ilvl="0" w:tplc="B14C1E3E">
      <w:start w:val="1"/>
      <w:numFmt w:val="decimal"/>
      <w:lvlText w:val="2.%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42657B9"/>
    <w:multiLevelType w:val="hybridMultilevel"/>
    <w:tmpl w:val="3828CD30"/>
    <w:lvl w:ilvl="0" w:tplc="E05499F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4444E89"/>
    <w:multiLevelType w:val="hybridMultilevel"/>
    <w:tmpl w:val="51C6700C"/>
    <w:lvl w:ilvl="0" w:tplc="84121E1C">
      <w:start w:val="3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9F0255"/>
    <w:multiLevelType w:val="multilevel"/>
    <w:tmpl w:val="25D811B8"/>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74E6531"/>
    <w:multiLevelType w:val="hybridMultilevel"/>
    <w:tmpl w:val="BEA2D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C939DA"/>
    <w:multiLevelType w:val="hybridMultilevel"/>
    <w:tmpl w:val="CC0C8D64"/>
    <w:lvl w:ilvl="0" w:tplc="43963482">
      <w:start w:val="1"/>
      <w:numFmt w:val="bullet"/>
      <w:lvlText w:val=""/>
      <w:lvlJc w:val="left"/>
      <w:pPr>
        <w:ind w:left="765" w:hanging="360"/>
      </w:pPr>
      <w:rPr>
        <w:rFonts w:ascii="Wingdings" w:hAnsi="Wingdings" w:hint="default"/>
        <w:color w:val="5F497A" w:themeColor="accent4"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8F65500"/>
    <w:multiLevelType w:val="hybridMultilevel"/>
    <w:tmpl w:val="A33A7F76"/>
    <w:lvl w:ilvl="0" w:tplc="64964E36">
      <w:start w:val="1"/>
      <w:numFmt w:val="bullet"/>
      <w:lvlText w:val=""/>
      <w:lvlJc w:val="left"/>
      <w:pPr>
        <w:ind w:left="1080" w:hanging="360"/>
      </w:pPr>
      <w:rPr>
        <w:rFonts w:ascii="Wingdings" w:hAnsi="Wingdings" w:hint="default"/>
        <w:color w:val="244061" w:themeColor="accent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9B14DDC"/>
    <w:multiLevelType w:val="hybridMultilevel"/>
    <w:tmpl w:val="48707D62"/>
    <w:lvl w:ilvl="0" w:tplc="A7D06940">
      <w:start w:val="1"/>
      <w:numFmt w:val="bullet"/>
      <w:lvlText w:val=""/>
      <w:lvlJc w:val="left"/>
      <w:pPr>
        <w:ind w:left="1080" w:hanging="360"/>
      </w:pPr>
      <w:rPr>
        <w:rFonts w:ascii="Wingdings" w:hAnsi="Wingdings" w:hint="default"/>
        <w:color w:val="984806" w:themeColor="accent6"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283621"/>
    <w:multiLevelType w:val="hybridMultilevel"/>
    <w:tmpl w:val="C3B69042"/>
    <w:lvl w:ilvl="0" w:tplc="D0A847D0">
      <w:start w:val="1"/>
      <w:numFmt w:val="bullet"/>
      <w:lvlText w:val=""/>
      <w:lvlJc w:val="left"/>
      <w:pPr>
        <w:ind w:left="1080" w:hanging="360"/>
      </w:pPr>
      <w:rPr>
        <w:rFonts w:ascii="Wingdings" w:hAnsi="Wingdings" w:hint="default"/>
        <w:color w:val="632423" w:themeColor="accent2"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C701756"/>
    <w:multiLevelType w:val="hybridMultilevel"/>
    <w:tmpl w:val="D414B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556BDB"/>
    <w:multiLevelType w:val="hybridMultilevel"/>
    <w:tmpl w:val="6CF2F982"/>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8C089D"/>
    <w:multiLevelType w:val="hybridMultilevel"/>
    <w:tmpl w:val="4F28130A"/>
    <w:lvl w:ilvl="0" w:tplc="D6A06CBC">
      <w:start w:val="1"/>
      <w:numFmt w:val="bullet"/>
      <w:lvlText w:val=""/>
      <w:lvlJc w:val="left"/>
      <w:pPr>
        <w:ind w:left="720" w:hanging="360"/>
      </w:pPr>
      <w:rPr>
        <w:rFonts w:ascii="Wingdings" w:hAnsi="Wingdings"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301987"/>
    <w:multiLevelType w:val="multilevel"/>
    <w:tmpl w:val="08FCE5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2"/>
  </w:num>
  <w:num w:numId="3">
    <w:abstractNumId w:val="19"/>
  </w:num>
  <w:num w:numId="4">
    <w:abstractNumId w:val="30"/>
  </w:num>
  <w:num w:numId="5">
    <w:abstractNumId w:val="25"/>
  </w:num>
  <w:num w:numId="6">
    <w:abstractNumId w:val="31"/>
  </w:num>
  <w:num w:numId="7">
    <w:abstractNumId w:val="3"/>
  </w:num>
  <w:num w:numId="8">
    <w:abstractNumId w:val="21"/>
  </w:num>
  <w:num w:numId="9">
    <w:abstractNumId w:val="33"/>
  </w:num>
  <w:num w:numId="10">
    <w:abstractNumId w:val="13"/>
  </w:num>
  <w:num w:numId="11">
    <w:abstractNumId w:val="26"/>
  </w:num>
  <w:num w:numId="12">
    <w:abstractNumId w:val="9"/>
  </w:num>
  <w:num w:numId="13">
    <w:abstractNumId w:val="16"/>
  </w:num>
  <w:num w:numId="14">
    <w:abstractNumId w:val="10"/>
  </w:num>
  <w:num w:numId="15">
    <w:abstractNumId w:val="29"/>
  </w:num>
  <w:num w:numId="16">
    <w:abstractNumId w:val="23"/>
  </w:num>
  <w:num w:numId="17">
    <w:abstractNumId w:val="20"/>
  </w:num>
  <w:num w:numId="18">
    <w:abstractNumId w:val="27"/>
  </w:num>
  <w:num w:numId="19">
    <w:abstractNumId w:val="6"/>
  </w:num>
  <w:num w:numId="20">
    <w:abstractNumId w:val="0"/>
  </w:num>
  <w:num w:numId="21">
    <w:abstractNumId w:val="18"/>
  </w:num>
  <w:num w:numId="22">
    <w:abstractNumId w:val="11"/>
  </w:num>
  <w:num w:numId="23">
    <w:abstractNumId w:val="15"/>
  </w:num>
  <w:num w:numId="24">
    <w:abstractNumId w:val="28"/>
  </w:num>
  <w:num w:numId="25">
    <w:abstractNumId w:val="4"/>
  </w:num>
  <w:num w:numId="26">
    <w:abstractNumId w:val="8"/>
  </w:num>
  <w:num w:numId="27">
    <w:abstractNumId w:val="22"/>
  </w:num>
  <w:num w:numId="28">
    <w:abstractNumId w:val="7"/>
  </w:num>
  <w:num w:numId="29">
    <w:abstractNumId w:val="24"/>
  </w:num>
  <w:num w:numId="30">
    <w:abstractNumId w:val="14"/>
  </w:num>
  <w:num w:numId="31">
    <w:abstractNumId w:val="32"/>
  </w:num>
  <w:num w:numId="32">
    <w:abstractNumId w:val="17"/>
  </w:num>
  <w:num w:numId="33">
    <w:abstractNumId w:val="2"/>
  </w:num>
  <w:num w:numId="3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02"/>
    <w:rsid w:val="000004CE"/>
    <w:rsid w:val="000018D5"/>
    <w:rsid w:val="000037C7"/>
    <w:rsid w:val="0000764D"/>
    <w:rsid w:val="000113E6"/>
    <w:rsid w:val="00011474"/>
    <w:rsid w:val="00014565"/>
    <w:rsid w:val="000176D2"/>
    <w:rsid w:val="00026E6C"/>
    <w:rsid w:val="00031040"/>
    <w:rsid w:val="000325FC"/>
    <w:rsid w:val="00032827"/>
    <w:rsid w:val="00033436"/>
    <w:rsid w:val="000366FD"/>
    <w:rsid w:val="00046510"/>
    <w:rsid w:val="00046E41"/>
    <w:rsid w:val="00047F78"/>
    <w:rsid w:val="0005002F"/>
    <w:rsid w:val="00053087"/>
    <w:rsid w:val="000600C0"/>
    <w:rsid w:val="000612B6"/>
    <w:rsid w:val="00066146"/>
    <w:rsid w:val="00074964"/>
    <w:rsid w:val="000773F3"/>
    <w:rsid w:val="00080674"/>
    <w:rsid w:val="00080E3B"/>
    <w:rsid w:val="00081201"/>
    <w:rsid w:val="00092402"/>
    <w:rsid w:val="00092D63"/>
    <w:rsid w:val="000935FD"/>
    <w:rsid w:val="000962BF"/>
    <w:rsid w:val="000A317F"/>
    <w:rsid w:val="000A4132"/>
    <w:rsid w:val="000B1E6E"/>
    <w:rsid w:val="000B2357"/>
    <w:rsid w:val="000B31B6"/>
    <w:rsid w:val="000B3BAA"/>
    <w:rsid w:val="000B4310"/>
    <w:rsid w:val="000B530E"/>
    <w:rsid w:val="000B6AB4"/>
    <w:rsid w:val="000B7226"/>
    <w:rsid w:val="000B7EF1"/>
    <w:rsid w:val="000C0ABC"/>
    <w:rsid w:val="000C3DDE"/>
    <w:rsid w:val="000C49DA"/>
    <w:rsid w:val="000C5382"/>
    <w:rsid w:val="000D077B"/>
    <w:rsid w:val="000D0B65"/>
    <w:rsid w:val="000D3CFF"/>
    <w:rsid w:val="000D7FA1"/>
    <w:rsid w:val="000E24AD"/>
    <w:rsid w:val="000E37D4"/>
    <w:rsid w:val="000E4965"/>
    <w:rsid w:val="000E4EAC"/>
    <w:rsid w:val="000E5B69"/>
    <w:rsid w:val="000E60D6"/>
    <w:rsid w:val="000F2F51"/>
    <w:rsid w:val="000F6092"/>
    <w:rsid w:val="000F63B0"/>
    <w:rsid w:val="000F68E5"/>
    <w:rsid w:val="000F6B22"/>
    <w:rsid w:val="00100981"/>
    <w:rsid w:val="001037C7"/>
    <w:rsid w:val="0010542D"/>
    <w:rsid w:val="00112389"/>
    <w:rsid w:val="00114363"/>
    <w:rsid w:val="00114854"/>
    <w:rsid w:val="00117DC3"/>
    <w:rsid w:val="0012161F"/>
    <w:rsid w:val="00122763"/>
    <w:rsid w:val="00137A6D"/>
    <w:rsid w:val="00143A70"/>
    <w:rsid w:val="00145E1D"/>
    <w:rsid w:val="00147421"/>
    <w:rsid w:val="001477B5"/>
    <w:rsid w:val="00147AD9"/>
    <w:rsid w:val="0015630D"/>
    <w:rsid w:val="00157192"/>
    <w:rsid w:val="001573A6"/>
    <w:rsid w:val="00161960"/>
    <w:rsid w:val="0017428D"/>
    <w:rsid w:val="0018397F"/>
    <w:rsid w:val="00194986"/>
    <w:rsid w:val="00196524"/>
    <w:rsid w:val="00197046"/>
    <w:rsid w:val="00197D0C"/>
    <w:rsid w:val="001A036B"/>
    <w:rsid w:val="001A069C"/>
    <w:rsid w:val="001A1010"/>
    <w:rsid w:val="001A4244"/>
    <w:rsid w:val="001A5907"/>
    <w:rsid w:val="001A66B7"/>
    <w:rsid w:val="001B34EC"/>
    <w:rsid w:val="001C1F00"/>
    <w:rsid w:val="001C248D"/>
    <w:rsid w:val="001C34AA"/>
    <w:rsid w:val="001C3CFF"/>
    <w:rsid w:val="001C455A"/>
    <w:rsid w:val="001C6C21"/>
    <w:rsid w:val="001D0D4C"/>
    <w:rsid w:val="001D392D"/>
    <w:rsid w:val="001D54C1"/>
    <w:rsid w:val="001E5602"/>
    <w:rsid w:val="001E78F4"/>
    <w:rsid w:val="001F31F1"/>
    <w:rsid w:val="001F3B89"/>
    <w:rsid w:val="001F4E9A"/>
    <w:rsid w:val="001F7115"/>
    <w:rsid w:val="00200332"/>
    <w:rsid w:val="002115E1"/>
    <w:rsid w:val="00212005"/>
    <w:rsid w:val="00212022"/>
    <w:rsid w:val="00213AA7"/>
    <w:rsid w:val="00213F1E"/>
    <w:rsid w:val="00220267"/>
    <w:rsid w:val="00221410"/>
    <w:rsid w:val="00223F99"/>
    <w:rsid w:val="00224FD4"/>
    <w:rsid w:val="00224FDF"/>
    <w:rsid w:val="002305CB"/>
    <w:rsid w:val="00231610"/>
    <w:rsid w:val="00231F67"/>
    <w:rsid w:val="00232163"/>
    <w:rsid w:val="00235E4A"/>
    <w:rsid w:val="00236364"/>
    <w:rsid w:val="00240684"/>
    <w:rsid w:val="00240CC7"/>
    <w:rsid w:val="002427D9"/>
    <w:rsid w:val="00244644"/>
    <w:rsid w:val="00247001"/>
    <w:rsid w:val="00253A10"/>
    <w:rsid w:val="00253DA0"/>
    <w:rsid w:val="002568C7"/>
    <w:rsid w:val="002579D5"/>
    <w:rsid w:val="00264603"/>
    <w:rsid w:val="00264FC2"/>
    <w:rsid w:val="002669E1"/>
    <w:rsid w:val="00270458"/>
    <w:rsid w:val="00270E9F"/>
    <w:rsid w:val="00273B71"/>
    <w:rsid w:val="00275B23"/>
    <w:rsid w:val="00280EB5"/>
    <w:rsid w:val="00281DFC"/>
    <w:rsid w:val="002825EA"/>
    <w:rsid w:val="0028261C"/>
    <w:rsid w:val="00282FBB"/>
    <w:rsid w:val="0028433A"/>
    <w:rsid w:val="0029306B"/>
    <w:rsid w:val="002935BE"/>
    <w:rsid w:val="0029718F"/>
    <w:rsid w:val="002A5307"/>
    <w:rsid w:val="002A60FE"/>
    <w:rsid w:val="002A61CD"/>
    <w:rsid w:val="002A6897"/>
    <w:rsid w:val="002B22EA"/>
    <w:rsid w:val="002B5835"/>
    <w:rsid w:val="002B629B"/>
    <w:rsid w:val="002C0AAC"/>
    <w:rsid w:val="002C673B"/>
    <w:rsid w:val="002D3920"/>
    <w:rsid w:val="002D77A7"/>
    <w:rsid w:val="002E35A0"/>
    <w:rsid w:val="002E6B5D"/>
    <w:rsid w:val="002F3A76"/>
    <w:rsid w:val="002F5C68"/>
    <w:rsid w:val="002F6337"/>
    <w:rsid w:val="0031354A"/>
    <w:rsid w:val="003161C9"/>
    <w:rsid w:val="00325494"/>
    <w:rsid w:val="003262F8"/>
    <w:rsid w:val="00334314"/>
    <w:rsid w:val="00336F6C"/>
    <w:rsid w:val="00340D3C"/>
    <w:rsid w:val="0034369D"/>
    <w:rsid w:val="0035034F"/>
    <w:rsid w:val="00354A24"/>
    <w:rsid w:val="00356479"/>
    <w:rsid w:val="00362CB0"/>
    <w:rsid w:val="00365340"/>
    <w:rsid w:val="003706DC"/>
    <w:rsid w:val="00370BEC"/>
    <w:rsid w:val="003714EB"/>
    <w:rsid w:val="0037197D"/>
    <w:rsid w:val="00372274"/>
    <w:rsid w:val="0037328B"/>
    <w:rsid w:val="0037354A"/>
    <w:rsid w:val="00374973"/>
    <w:rsid w:val="00374EAC"/>
    <w:rsid w:val="00380303"/>
    <w:rsid w:val="0038285B"/>
    <w:rsid w:val="003842A7"/>
    <w:rsid w:val="003853CD"/>
    <w:rsid w:val="00395B8D"/>
    <w:rsid w:val="00396E78"/>
    <w:rsid w:val="003A4C8B"/>
    <w:rsid w:val="003A5E42"/>
    <w:rsid w:val="003A7922"/>
    <w:rsid w:val="003B1E41"/>
    <w:rsid w:val="003B2789"/>
    <w:rsid w:val="003B3F0E"/>
    <w:rsid w:val="003B611F"/>
    <w:rsid w:val="003B7232"/>
    <w:rsid w:val="003B7D59"/>
    <w:rsid w:val="003C04B5"/>
    <w:rsid w:val="003C28AA"/>
    <w:rsid w:val="003C2975"/>
    <w:rsid w:val="003C5F0B"/>
    <w:rsid w:val="003D3666"/>
    <w:rsid w:val="003D734F"/>
    <w:rsid w:val="003E1D3A"/>
    <w:rsid w:val="003E3B39"/>
    <w:rsid w:val="003E5017"/>
    <w:rsid w:val="003E7829"/>
    <w:rsid w:val="003F0E41"/>
    <w:rsid w:val="003F17F4"/>
    <w:rsid w:val="003F1F4E"/>
    <w:rsid w:val="004000D7"/>
    <w:rsid w:val="004023F4"/>
    <w:rsid w:val="004066AF"/>
    <w:rsid w:val="00410F5D"/>
    <w:rsid w:val="00411D93"/>
    <w:rsid w:val="00413634"/>
    <w:rsid w:val="00420038"/>
    <w:rsid w:val="00420C87"/>
    <w:rsid w:val="00423C4D"/>
    <w:rsid w:val="00431C8D"/>
    <w:rsid w:val="004326DC"/>
    <w:rsid w:val="004335B5"/>
    <w:rsid w:val="0044263A"/>
    <w:rsid w:val="004432A1"/>
    <w:rsid w:val="00443C6A"/>
    <w:rsid w:val="00444168"/>
    <w:rsid w:val="00444DE5"/>
    <w:rsid w:val="00446041"/>
    <w:rsid w:val="004471EF"/>
    <w:rsid w:val="0044790B"/>
    <w:rsid w:val="004507DD"/>
    <w:rsid w:val="00451E03"/>
    <w:rsid w:val="00453380"/>
    <w:rsid w:val="00460536"/>
    <w:rsid w:val="00463381"/>
    <w:rsid w:val="00470775"/>
    <w:rsid w:val="00472EA6"/>
    <w:rsid w:val="004736CF"/>
    <w:rsid w:val="00480BE1"/>
    <w:rsid w:val="00481903"/>
    <w:rsid w:val="00482E9E"/>
    <w:rsid w:val="004832AE"/>
    <w:rsid w:val="00483A60"/>
    <w:rsid w:val="00485031"/>
    <w:rsid w:val="004914B5"/>
    <w:rsid w:val="00497553"/>
    <w:rsid w:val="00497A88"/>
    <w:rsid w:val="00497D6F"/>
    <w:rsid w:val="00497F33"/>
    <w:rsid w:val="004A6928"/>
    <w:rsid w:val="004B0B82"/>
    <w:rsid w:val="004B7A8D"/>
    <w:rsid w:val="004D1C02"/>
    <w:rsid w:val="004D7B71"/>
    <w:rsid w:val="004E1070"/>
    <w:rsid w:val="004E2A21"/>
    <w:rsid w:val="004E2F7A"/>
    <w:rsid w:val="004E3A40"/>
    <w:rsid w:val="004E4ABD"/>
    <w:rsid w:val="004E63C4"/>
    <w:rsid w:val="004E7BB4"/>
    <w:rsid w:val="004F1FBF"/>
    <w:rsid w:val="004F4073"/>
    <w:rsid w:val="004F4279"/>
    <w:rsid w:val="00500105"/>
    <w:rsid w:val="005026D6"/>
    <w:rsid w:val="00504811"/>
    <w:rsid w:val="00504E43"/>
    <w:rsid w:val="005069D9"/>
    <w:rsid w:val="00507F15"/>
    <w:rsid w:val="00510BCF"/>
    <w:rsid w:val="00514F96"/>
    <w:rsid w:val="00515A4B"/>
    <w:rsid w:val="00515B24"/>
    <w:rsid w:val="0052102B"/>
    <w:rsid w:val="005229B5"/>
    <w:rsid w:val="00522EC5"/>
    <w:rsid w:val="00530891"/>
    <w:rsid w:val="0053208F"/>
    <w:rsid w:val="0053282A"/>
    <w:rsid w:val="00534B7B"/>
    <w:rsid w:val="00534C05"/>
    <w:rsid w:val="0054018D"/>
    <w:rsid w:val="00540689"/>
    <w:rsid w:val="00540ED0"/>
    <w:rsid w:val="005438DA"/>
    <w:rsid w:val="00544710"/>
    <w:rsid w:val="005452DF"/>
    <w:rsid w:val="00545827"/>
    <w:rsid w:val="0054611A"/>
    <w:rsid w:val="00552D3F"/>
    <w:rsid w:val="005542F7"/>
    <w:rsid w:val="005552B9"/>
    <w:rsid w:val="00555D64"/>
    <w:rsid w:val="00556E1D"/>
    <w:rsid w:val="00557661"/>
    <w:rsid w:val="00561610"/>
    <w:rsid w:val="00564DFD"/>
    <w:rsid w:val="00566A5C"/>
    <w:rsid w:val="00572014"/>
    <w:rsid w:val="00577D7B"/>
    <w:rsid w:val="00581165"/>
    <w:rsid w:val="0058441A"/>
    <w:rsid w:val="00587A41"/>
    <w:rsid w:val="00590A67"/>
    <w:rsid w:val="00590EFE"/>
    <w:rsid w:val="005A22B8"/>
    <w:rsid w:val="005A27B9"/>
    <w:rsid w:val="005A4BBF"/>
    <w:rsid w:val="005B12E3"/>
    <w:rsid w:val="005B18B0"/>
    <w:rsid w:val="005B4567"/>
    <w:rsid w:val="005C37F1"/>
    <w:rsid w:val="005C674B"/>
    <w:rsid w:val="005D05E7"/>
    <w:rsid w:val="005D092E"/>
    <w:rsid w:val="005D13D4"/>
    <w:rsid w:val="005D6AEF"/>
    <w:rsid w:val="005E3086"/>
    <w:rsid w:val="005E5F06"/>
    <w:rsid w:val="005F0AD3"/>
    <w:rsid w:val="005F1113"/>
    <w:rsid w:val="005F3F61"/>
    <w:rsid w:val="005F523B"/>
    <w:rsid w:val="005F586C"/>
    <w:rsid w:val="005F719B"/>
    <w:rsid w:val="005F748A"/>
    <w:rsid w:val="005F7583"/>
    <w:rsid w:val="00604FBA"/>
    <w:rsid w:val="00607718"/>
    <w:rsid w:val="006109B6"/>
    <w:rsid w:val="00610E8C"/>
    <w:rsid w:val="00612E7F"/>
    <w:rsid w:val="00613B4C"/>
    <w:rsid w:val="00614696"/>
    <w:rsid w:val="00616B67"/>
    <w:rsid w:val="00616E4A"/>
    <w:rsid w:val="00616EDA"/>
    <w:rsid w:val="0061782D"/>
    <w:rsid w:val="00620420"/>
    <w:rsid w:val="00621688"/>
    <w:rsid w:val="00623FE3"/>
    <w:rsid w:val="00624E91"/>
    <w:rsid w:val="006270C0"/>
    <w:rsid w:val="006274E1"/>
    <w:rsid w:val="00635CD2"/>
    <w:rsid w:val="00636A78"/>
    <w:rsid w:val="00640C4B"/>
    <w:rsid w:val="00641947"/>
    <w:rsid w:val="0064398B"/>
    <w:rsid w:val="0064646A"/>
    <w:rsid w:val="00647E14"/>
    <w:rsid w:val="00650451"/>
    <w:rsid w:val="00653C74"/>
    <w:rsid w:val="00654665"/>
    <w:rsid w:val="00654AEB"/>
    <w:rsid w:val="00657BE0"/>
    <w:rsid w:val="00657E4D"/>
    <w:rsid w:val="00663E89"/>
    <w:rsid w:val="006663B7"/>
    <w:rsid w:val="00666DC4"/>
    <w:rsid w:val="0066711D"/>
    <w:rsid w:val="006673D5"/>
    <w:rsid w:val="006678E8"/>
    <w:rsid w:val="00670AA8"/>
    <w:rsid w:val="00674076"/>
    <w:rsid w:val="0067583C"/>
    <w:rsid w:val="00676205"/>
    <w:rsid w:val="006764FB"/>
    <w:rsid w:val="00676BC9"/>
    <w:rsid w:val="00676D47"/>
    <w:rsid w:val="00682A91"/>
    <w:rsid w:val="006906CA"/>
    <w:rsid w:val="00690FF9"/>
    <w:rsid w:val="00691BAA"/>
    <w:rsid w:val="00692529"/>
    <w:rsid w:val="0069418B"/>
    <w:rsid w:val="00697358"/>
    <w:rsid w:val="006A07D9"/>
    <w:rsid w:val="006A2722"/>
    <w:rsid w:val="006A738C"/>
    <w:rsid w:val="006B4217"/>
    <w:rsid w:val="006C4C51"/>
    <w:rsid w:val="006C4EFE"/>
    <w:rsid w:val="006C638B"/>
    <w:rsid w:val="006C7E6E"/>
    <w:rsid w:val="006D1D91"/>
    <w:rsid w:val="006D1F26"/>
    <w:rsid w:val="006D4F2E"/>
    <w:rsid w:val="006D60DF"/>
    <w:rsid w:val="006E25C0"/>
    <w:rsid w:val="006E38B9"/>
    <w:rsid w:val="006F0F7C"/>
    <w:rsid w:val="006F129A"/>
    <w:rsid w:val="006F19F0"/>
    <w:rsid w:val="006F2661"/>
    <w:rsid w:val="006F7302"/>
    <w:rsid w:val="00700B74"/>
    <w:rsid w:val="007020ED"/>
    <w:rsid w:val="00702F73"/>
    <w:rsid w:val="00707705"/>
    <w:rsid w:val="007150F6"/>
    <w:rsid w:val="00721AAD"/>
    <w:rsid w:val="007260D8"/>
    <w:rsid w:val="00732FE4"/>
    <w:rsid w:val="007350E5"/>
    <w:rsid w:val="00740696"/>
    <w:rsid w:val="00742A00"/>
    <w:rsid w:val="00743825"/>
    <w:rsid w:val="00745699"/>
    <w:rsid w:val="0075073C"/>
    <w:rsid w:val="00751516"/>
    <w:rsid w:val="0075464C"/>
    <w:rsid w:val="007606B3"/>
    <w:rsid w:val="00761EA8"/>
    <w:rsid w:val="00763006"/>
    <w:rsid w:val="00767383"/>
    <w:rsid w:val="00772AFF"/>
    <w:rsid w:val="007733D1"/>
    <w:rsid w:val="00774116"/>
    <w:rsid w:val="00775C63"/>
    <w:rsid w:val="007908F4"/>
    <w:rsid w:val="007917B1"/>
    <w:rsid w:val="0079208D"/>
    <w:rsid w:val="00796ED9"/>
    <w:rsid w:val="007A1DE2"/>
    <w:rsid w:val="007A24B3"/>
    <w:rsid w:val="007A258D"/>
    <w:rsid w:val="007A4045"/>
    <w:rsid w:val="007A59A0"/>
    <w:rsid w:val="007A7D29"/>
    <w:rsid w:val="007B03FE"/>
    <w:rsid w:val="007B54CF"/>
    <w:rsid w:val="007B632F"/>
    <w:rsid w:val="007B6707"/>
    <w:rsid w:val="007C21FB"/>
    <w:rsid w:val="007C258A"/>
    <w:rsid w:val="007C3AE5"/>
    <w:rsid w:val="007C60D8"/>
    <w:rsid w:val="007C6EEA"/>
    <w:rsid w:val="007D38A2"/>
    <w:rsid w:val="007D5EE3"/>
    <w:rsid w:val="007D5F94"/>
    <w:rsid w:val="007E001F"/>
    <w:rsid w:val="007E17C3"/>
    <w:rsid w:val="007E2D44"/>
    <w:rsid w:val="007E6209"/>
    <w:rsid w:val="007E7050"/>
    <w:rsid w:val="007F21BF"/>
    <w:rsid w:val="007F2375"/>
    <w:rsid w:val="00800436"/>
    <w:rsid w:val="008010B2"/>
    <w:rsid w:val="00802D17"/>
    <w:rsid w:val="00807CDB"/>
    <w:rsid w:val="00810D3C"/>
    <w:rsid w:val="00811359"/>
    <w:rsid w:val="008158D8"/>
    <w:rsid w:val="008177DD"/>
    <w:rsid w:val="008239FA"/>
    <w:rsid w:val="008254EA"/>
    <w:rsid w:val="0082664B"/>
    <w:rsid w:val="008276D1"/>
    <w:rsid w:val="008307BE"/>
    <w:rsid w:val="00840D9F"/>
    <w:rsid w:val="00841961"/>
    <w:rsid w:val="00842A0A"/>
    <w:rsid w:val="008455CE"/>
    <w:rsid w:val="00846782"/>
    <w:rsid w:val="0084711C"/>
    <w:rsid w:val="0084720A"/>
    <w:rsid w:val="0085348D"/>
    <w:rsid w:val="00856641"/>
    <w:rsid w:val="00856B37"/>
    <w:rsid w:val="00857A9C"/>
    <w:rsid w:val="008610C6"/>
    <w:rsid w:val="008618FB"/>
    <w:rsid w:val="0086207B"/>
    <w:rsid w:val="008672C3"/>
    <w:rsid w:val="0087277D"/>
    <w:rsid w:val="0089098C"/>
    <w:rsid w:val="00893565"/>
    <w:rsid w:val="008968C9"/>
    <w:rsid w:val="008A22C6"/>
    <w:rsid w:val="008A6778"/>
    <w:rsid w:val="008A733A"/>
    <w:rsid w:val="008B20EB"/>
    <w:rsid w:val="008B306D"/>
    <w:rsid w:val="008B522A"/>
    <w:rsid w:val="008B7923"/>
    <w:rsid w:val="008D0B2A"/>
    <w:rsid w:val="008D3370"/>
    <w:rsid w:val="008D3825"/>
    <w:rsid w:val="008D64D6"/>
    <w:rsid w:val="008E1CEA"/>
    <w:rsid w:val="008E63C0"/>
    <w:rsid w:val="008E693A"/>
    <w:rsid w:val="008F25B3"/>
    <w:rsid w:val="008F39CA"/>
    <w:rsid w:val="008F48F6"/>
    <w:rsid w:val="008F4949"/>
    <w:rsid w:val="008F65CF"/>
    <w:rsid w:val="00901791"/>
    <w:rsid w:val="00910DB7"/>
    <w:rsid w:val="00912E86"/>
    <w:rsid w:val="00913776"/>
    <w:rsid w:val="00913D85"/>
    <w:rsid w:val="0091749C"/>
    <w:rsid w:val="00923530"/>
    <w:rsid w:val="00924960"/>
    <w:rsid w:val="0093099D"/>
    <w:rsid w:val="00932F70"/>
    <w:rsid w:val="00933BC2"/>
    <w:rsid w:val="00934504"/>
    <w:rsid w:val="00935AEF"/>
    <w:rsid w:val="00935B9C"/>
    <w:rsid w:val="00942D24"/>
    <w:rsid w:val="00950135"/>
    <w:rsid w:val="00951575"/>
    <w:rsid w:val="00952DF6"/>
    <w:rsid w:val="00953307"/>
    <w:rsid w:val="009542DD"/>
    <w:rsid w:val="00954544"/>
    <w:rsid w:val="00961FCE"/>
    <w:rsid w:val="00962781"/>
    <w:rsid w:val="00965E97"/>
    <w:rsid w:val="009747A0"/>
    <w:rsid w:val="00980EDF"/>
    <w:rsid w:val="009817BD"/>
    <w:rsid w:val="009936D5"/>
    <w:rsid w:val="00995D76"/>
    <w:rsid w:val="00996179"/>
    <w:rsid w:val="00997605"/>
    <w:rsid w:val="009A05DD"/>
    <w:rsid w:val="009A74C4"/>
    <w:rsid w:val="009B1093"/>
    <w:rsid w:val="009B6DBE"/>
    <w:rsid w:val="009C0F90"/>
    <w:rsid w:val="009C35B6"/>
    <w:rsid w:val="009D0433"/>
    <w:rsid w:val="009D1FA6"/>
    <w:rsid w:val="009D323B"/>
    <w:rsid w:val="009D37AD"/>
    <w:rsid w:val="009D4AB0"/>
    <w:rsid w:val="009D4EB7"/>
    <w:rsid w:val="009E261E"/>
    <w:rsid w:val="009E3564"/>
    <w:rsid w:val="009E5BB8"/>
    <w:rsid w:val="009E75E5"/>
    <w:rsid w:val="009F09BA"/>
    <w:rsid w:val="009F4A15"/>
    <w:rsid w:val="009F4CD5"/>
    <w:rsid w:val="009F51AA"/>
    <w:rsid w:val="00A001D9"/>
    <w:rsid w:val="00A00A74"/>
    <w:rsid w:val="00A00D69"/>
    <w:rsid w:val="00A056EA"/>
    <w:rsid w:val="00A05F0F"/>
    <w:rsid w:val="00A10C36"/>
    <w:rsid w:val="00A11A6A"/>
    <w:rsid w:val="00A2203C"/>
    <w:rsid w:val="00A234AB"/>
    <w:rsid w:val="00A234CA"/>
    <w:rsid w:val="00A27917"/>
    <w:rsid w:val="00A31762"/>
    <w:rsid w:val="00A318D1"/>
    <w:rsid w:val="00A31DC4"/>
    <w:rsid w:val="00A326FE"/>
    <w:rsid w:val="00A33A99"/>
    <w:rsid w:val="00A475EC"/>
    <w:rsid w:val="00A50550"/>
    <w:rsid w:val="00A52982"/>
    <w:rsid w:val="00A5317C"/>
    <w:rsid w:val="00A53EAE"/>
    <w:rsid w:val="00A53FE4"/>
    <w:rsid w:val="00A57C18"/>
    <w:rsid w:val="00A57EB2"/>
    <w:rsid w:val="00A6022C"/>
    <w:rsid w:val="00A62DC5"/>
    <w:rsid w:val="00A64B8E"/>
    <w:rsid w:val="00A669EF"/>
    <w:rsid w:val="00A67AC1"/>
    <w:rsid w:val="00A71C31"/>
    <w:rsid w:val="00A72FCF"/>
    <w:rsid w:val="00A73CF4"/>
    <w:rsid w:val="00A81B57"/>
    <w:rsid w:val="00A81D1B"/>
    <w:rsid w:val="00A838F8"/>
    <w:rsid w:val="00A85BEA"/>
    <w:rsid w:val="00A878BE"/>
    <w:rsid w:val="00A92216"/>
    <w:rsid w:val="00A946C9"/>
    <w:rsid w:val="00AA0A89"/>
    <w:rsid w:val="00AA1760"/>
    <w:rsid w:val="00AA1E39"/>
    <w:rsid w:val="00AA1FE7"/>
    <w:rsid w:val="00AA6AB0"/>
    <w:rsid w:val="00AB1174"/>
    <w:rsid w:val="00AB1DE9"/>
    <w:rsid w:val="00AB27D6"/>
    <w:rsid w:val="00AB2E35"/>
    <w:rsid w:val="00AB4544"/>
    <w:rsid w:val="00AB5140"/>
    <w:rsid w:val="00AB618C"/>
    <w:rsid w:val="00AB7777"/>
    <w:rsid w:val="00AC112B"/>
    <w:rsid w:val="00AC33B2"/>
    <w:rsid w:val="00AC3C68"/>
    <w:rsid w:val="00AD2C54"/>
    <w:rsid w:val="00AD73A3"/>
    <w:rsid w:val="00AD7955"/>
    <w:rsid w:val="00AE2D96"/>
    <w:rsid w:val="00AE7245"/>
    <w:rsid w:val="00AF12B2"/>
    <w:rsid w:val="00AF195F"/>
    <w:rsid w:val="00AF4B7A"/>
    <w:rsid w:val="00AF5920"/>
    <w:rsid w:val="00AF5F8C"/>
    <w:rsid w:val="00AF743D"/>
    <w:rsid w:val="00B02219"/>
    <w:rsid w:val="00B032CE"/>
    <w:rsid w:val="00B04057"/>
    <w:rsid w:val="00B05DCB"/>
    <w:rsid w:val="00B10E8D"/>
    <w:rsid w:val="00B136C7"/>
    <w:rsid w:val="00B16162"/>
    <w:rsid w:val="00B35376"/>
    <w:rsid w:val="00B36975"/>
    <w:rsid w:val="00B42F30"/>
    <w:rsid w:val="00B43422"/>
    <w:rsid w:val="00B45A82"/>
    <w:rsid w:val="00B45B17"/>
    <w:rsid w:val="00B45DCE"/>
    <w:rsid w:val="00B4691B"/>
    <w:rsid w:val="00B47B04"/>
    <w:rsid w:val="00B47B99"/>
    <w:rsid w:val="00B523E0"/>
    <w:rsid w:val="00B53242"/>
    <w:rsid w:val="00B53D48"/>
    <w:rsid w:val="00B554A4"/>
    <w:rsid w:val="00B63011"/>
    <w:rsid w:val="00B6359D"/>
    <w:rsid w:val="00B6465D"/>
    <w:rsid w:val="00B67D74"/>
    <w:rsid w:val="00B76280"/>
    <w:rsid w:val="00B843C0"/>
    <w:rsid w:val="00B84719"/>
    <w:rsid w:val="00B903E9"/>
    <w:rsid w:val="00B906C0"/>
    <w:rsid w:val="00B93554"/>
    <w:rsid w:val="00B978B3"/>
    <w:rsid w:val="00BA4393"/>
    <w:rsid w:val="00BA5884"/>
    <w:rsid w:val="00BA793C"/>
    <w:rsid w:val="00BB10D6"/>
    <w:rsid w:val="00BB15D3"/>
    <w:rsid w:val="00BB323E"/>
    <w:rsid w:val="00BB5038"/>
    <w:rsid w:val="00BB7A11"/>
    <w:rsid w:val="00BC2EA0"/>
    <w:rsid w:val="00BC3377"/>
    <w:rsid w:val="00BC3DD4"/>
    <w:rsid w:val="00BD1421"/>
    <w:rsid w:val="00BD153F"/>
    <w:rsid w:val="00BD1832"/>
    <w:rsid w:val="00BD35A2"/>
    <w:rsid w:val="00BD38D9"/>
    <w:rsid w:val="00BD63FC"/>
    <w:rsid w:val="00BD6A5A"/>
    <w:rsid w:val="00BD7741"/>
    <w:rsid w:val="00BD7AA3"/>
    <w:rsid w:val="00BE2B37"/>
    <w:rsid w:val="00BE2B61"/>
    <w:rsid w:val="00BE64A0"/>
    <w:rsid w:val="00BF255E"/>
    <w:rsid w:val="00BF3B15"/>
    <w:rsid w:val="00BF3BE1"/>
    <w:rsid w:val="00BF6E6F"/>
    <w:rsid w:val="00BF7161"/>
    <w:rsid w:val="00BF7A96"/>
    <w:rsid w:val="00C02ED0"/>
    <w:rsid w:val="00C03780"/>
    <w:rsid w:val="00C07F80"/>
    <w:rsid w:val="00C119B9"/>
    <w:rsid w:val="00C12206"/>
    <w:rsid w:val="00C124F7"/>
    <w:rsid w:val="00C12543"/>
    <w:rsid w:val="00C12656"/>
    <w:rsid w:val="00C133A9"/>
    <w:rsid w:val="00C16EA1"/>
    <w:rsid w:val="00C2613A"/>
    <w:rsid w:val="00C323EB"/>
    <w:rsid w:val="00C32EA5"/>
    <w:rsid w:val="00C361AA"/>
    <w:rsid w:val="00C369CD"/>
    <w:rsid w:val="00C41D3B"/>
    <w:rsid w:val="00C42B2C"/>
    <w:rsid w:val="00C46D2D"/>
    <w:rsid w:val="00C4713A"/>
    <w:rsid w:val="00C47781"/>
    <w:rsid w:val="00C502BF"/>
    <w:rsid w:val="00C577F4"/>
    <w:rsid w:val="00C615C2"/>
    <w:rsid w:val="00C62FE8"/>
    <w:rsid w:val="00C65306"/>
    <w:rsid w:val="00C6532A"/>
    <w:rsid w:val="00C6645D"/>
    <w:rsid w:val="00C70E70"/>
    <w:rsid w:val="00C71B08"/>
    <w:rsid w:val="00C74612"/>
    <w:rsid w:val="00C80669"/>
    <w:rsid w:val="00C81C3E"/>
    <w:rsid w:val="00C82A02"/>
    <w:rsid w:val="00C85106"/>
    <w:rsid w:val="00C852C0"/>
    <w:rsid w:val="00C92379"/>
    <w:rsid w:val="00C94125"/>
    <w:rsid w:val="00C9439B"/>
    <w:rsid w:val="00C95D28"/>
    <w:rsid w:val="00C97332"/>
    <w:rsid w:val="00CA13AF"/>
    <w:rsid w:val="00CA480C"/>
    <w:rsid w:val="00CA4B66"/>
    <w:rsid w:val="00CA63A4"/>
    <w:rsid w:val="00CB432A"/>
    <w:rsid w:val="00CB46CE"/>
    <w:rsid w:val="00CC03C9"/>
    <w:rsid w:val="00CC19A9"/>
    <w:rsid w:val="00CC7349"/>
    <w:rsid w:val="00CD0F17"/>
    <w:rsid w:val="00CD1D95"/>
    <w:rsid w:val="00CD3873"/>
    <w:rsid w:val="00CD39A8"/>
    <w:rsid w:val="00CD5556"/>
    <w:rsid w:val="00CD6163"/>
    <w:rsid w:val="00CE6773"/>
    <w:rsid w:val="00CE6A36"/>
    <w:rsid w:val="00CE6A7A"/>
    <w:rsid w:val="00CF31F6"/>
    <w:rsid w:val="00CF3A50"/>
    <w:rsid w:val="00D012B5"/>
    <w:rsid w:val="00D03273"/>
    <w:rsid w:val="00D05539"/>
    <w:rsid w:val="00D076BC"/>
    <w:rsid w:val="00D10B9D"/>
    <w:rsid w:val="00D11A24"/>
    <w:rsid w:val="00D14146"/>
    <w:rsid w:val="00D14B12"/>
    <w:rsid w:val="00D16D78"/>
    <w:rsid w:val="00D17B4A"/>
    <w:rsid w:val="00D245E0"/>
    <w:rsid w:val="00D2579E"/>
    <w:rsid w:val="00D30502"/>
    <w:rsid w:val="00D36778"/>
    <w:rsid w:val="00D40C20"/>
    <w:rsid w:val="00D42BE4"/>
    <w:rsid w:val="00D43122"/>
    <w:rsid w:val="00D449E7"/>
    <w:rsid w:val="00D4526E"/>
    <w:rsid w:val="00D45D5E"/>
    <w:rsid w:val="00D46EAC"/>
    <w:rsid w:val="00D54CED"/>
    <w:rsid w:val="00D57483"/>
    <w:rsid w:val="00D67594"/>
    <w:rsid w:val="00D71A5C"/>
    <w:rsid w:val="00D71D7D"/>
    <w:rsid w:val="00D72EF1"/>
    <w:rsid w:val="00D77E4D"/>
    <w:rsid w:val="00D80770"/>
    <w:rsid w:val="00D812A6"/>
    <w:rsid w:val="00D82FD9"/>
    <w:rsid w:val="00D8302D"/>
    <w:rsid w:val="00D86291"/>
    <w:rsid w:val="00D87F90"/>
    <w:rsid w:val="00D93D43"/>
    <w:rsid w:val="00D97772"/>
    <w:rsid w:val="00DA25B4"/>
    <w:rsid w:val="00DA4ABA"/>
    <w:rsid w:val="00DA67D3"/>
    <w:rsid w:val="00DB0513"/>
    <w:rsid w:val="00DB0858"/>
    <w:rsid w:val="00DB39B6"/>
    <w:rsid w:val="00DB4F2C"/>
    <w:rsid w:val="00DB6982"/>
    <w:rsid w:val="00DC0E38"/>
    <w:rsid w:val="00DC274B"/>
    <w:rsid w:val="00DC6CE7"/>
    <w:rsid w:val="00DD4D65"/>
    <w:rsid w:val="00DE08D2"/>
    <w:rsid w:val="00DE511C"/>
    <w:rsid w:val="00DE64D9"/>
    <w:rsid w:val="00DE78ED"/>
    <w:rsid w:val="00DF3EF6"/>
    <w:rsid w:val="00DF405C"/>
    <w:rsid w:val="00DF603D"/>
    <w:rsid w:val="00DF6592"/>
    <w:rsid w:val="00E01873"/>
    <w:rsid w:val="00E033EF"/>
    <w:rsid w:val="00E03ECB"/>
    <w:rsid w:val="00E06F63"/>
    <w:rsid w:val="00E0784B"/>
    <w:rsid w:val="00E109AC"/>
    <w:rsid w:val="00E112C8"/>
    <w:rsid w:val="00E11A56"/>
    <w:rsid w:val="00E15027"/>
    <w:rsid w:val="00E2063F"/>
    <w:rsid w:val="00E2477E"/>
    <w:rsid w:val="00E24DC6"/>
    <w:rsid w:val="00E26752"/>
    <w:rsid w:val="00E3384F"/>
    <w:rsid w:val="00E4062C"/>
    <w:rsid w:val="00E40DF2"/>
    <w:rsid w:val="00E4174B"/>
    <w:rsid w:val="00E42B14"/>
    <w:rsid w:val="00E478DF"/>
    <w:rsid w:val="00E500D8"/>
    <w:rsid w:val="00E510FD"/>
    <w:rsid w:val="00E519E9"/>
    <w:rsid w:val="00E523A6"/>
    <w:rsid w:val="00E5287B"/>
    <w:rsid w:val="00E62510"/>
    <w:rsid w:val="00E632AD"/>
    <w:rsid w:val="00E63AD1"/>
    <w:rsid w:val="00E63F9E"/>
    <w:rsid w:val="00E642A8"/>
    <w:rsid w:val="00E65726"/>
    <w:rsid w:val="00E67E83"/>
    <w:rsid w:val="00E7018D"/>
    <w:rsid w:val="00E71A9B"/>
    <w:rsid w:val="00E8028F"/>
    <w:rsid w:val="00E82424"/>
    <w:rsid w:val="00E9105E"/>
    <w:rsid w:val="00E9264D"/>
    <w:rsid w:val="00E92A7D"/>
    <w:rsid w:val="00EA5A77"/>
    <w:rsid w:val="00EA6A1A"/>
    <w:rsid w:val="00EA796B"/>
    <w:rsid w:val="00EA7A21"/>
    <w:rsid w:val="00EB05F5"/>
    <w:rsid w:val="00EB143E"/>
    <w:rsid w:val="00EB1BD6"/>
    <w:rsid w:val="00EB3F78"/>
    <w:rsid w:val="00EB6A96"/>
    <w:rsid w:val="00EB7875"/>
    <w:rsid w:val="00EC00D8"/>
    <w:rsid w:val="00EC66D5"/>
    <w:rsid w:val="00EC729B"/>
    <w:rsid w:val="00ED3048"/>
    <w:rsid w:val="00ED365D"/>
    <w:rsid w:val="00ED694F"/>
    <w:rsid w:val="00EE0F6F"/>
    <w:rsid w:val="00EE1238"/>
    <w:rsid w:val="00EE1F4F"/>
    <w:rsid w:val="00EE2627"/>
    <w:rsid w:val="00EE6691"/>
    <w:rsid w:val="00EF0867"/>
    <w:rsid w:val="00EF220B"/>
    <w:rsid w:val="00EF4037"/>
    <w:rsid w:val="00EF5035"/>
    <w:rsid w:val="00EF6B97"/>
    <w:rsid w:val="00F01BC6"/>
    <w:rsid w:val="00F0266B"/>
    <w:rsid w:val="00F044E5"/>
    <w:rsid w:val="00F1347D"/>
    <w:rsid w:val="00F13BD0"/>
    <w:rsid w:val="00F13D73"/>
    <w:rsid w:val="00F13E30"/>
    <w:rsid w:val="00F13FD9"/>
    <w:rsid w:val="00F1483B"/>
    <w:rsid w:val="00F17C82"/>
    <w:rsid w:val="00F2329B"/>
    <w:rsid w:val="00F23923"/>
    <w:rsid w:val="00F2548B"/>
    <w:rsid w:val="00F258D7"/>
    <w:rsid w:val="00F26293"/>
    <w:rsid w:val="00F320A9"/>
    <w:rsid w:val="00F34C2D"/>
    <w:rsid w:val="00F41495"/>
    <w:rsid w:val="00F53753"/>
    <w:rsid w:val="00F54F5C"/>
    <w:rsid w:val="00F56851"/>
    <w:rsid w:val="00F61597"/>
    <w:rsid w:val="00F61B80"/>
    <w:rsid w:val="00F62D80"/>
    <w:rsid w:val="00F64447"/>
    <w:rsid w:val="00F6595A"/>
    <w:rsid w:val="00F65C5D"/>
    <w:rsid w:val="00F66FED"/>
    <w:rsid w:val="00F67365"/>
    <w:rsid w:val="00F706E1"/>
    <w:rsid w:val="00F72AE9"/>
    <w:rsid w:val="00F74D36"/>
    <w:rsid w:val="00F7639A"/>
    <w:rsid w:val="00F768DE"/>
    <w:rsid w:val="00F76AC9"/>
    <w:rsid w:val="00F804C8"/>
    <w:rsid w:val="00F81C6D"/>
    <w:rsid w:val="00F83ECA"/>
    <w:rsid w:val="00F843E4"/>
    <w:rsid w:val="00F85B66"/>
    <w:rsid w:val="00F872A6"/>
    <w:rsid w:val="00F9619D"/>
    <w:rsid w:val="00F97452"/>
    <w:rsid w:val="00FA60DB"/>
    <w:rsid w:val="00FB3270"/>
    <w:rsid w:val="00FB6EBA"/>
    <w:rsid w:val="00FB7791"/>
    <w:rsid w:val="00FC00F7"/>
    <w:rsid w:val="00FC3172"/>
    <w:rsid w:val="00FC3DAB"/>
    <w:rsid w:val="00FC705A"/>
    <w:rsid w:val="00FD0195"/>
    <w:rsid w:val="00FD1376"/>
    <w:rsid w:val="00FD20E1"/>
    <w:rsid w:val="00FD3A85"/>
    <w:rsid w:val="00FD3E84"/>
    <w:rsid w:val="00FD40EB"/>
    <w:rsid w:val="00FD4103"/>
    <w:rsid w:val="00FD70AE"/>
    <w:rsid w:val="00FE1FB0"/>
    <w:rsid w:val="00FE21C3"/>
    <w:rsid w:val="00FE3BD4"/>
    <w:rsid w:val="00FE482E"/>
    <w:rsid w:val="00FE52F1"/>
    <w:rsid w:val="00FE539A"/>
    <w:rsid w:val="00FE5426"/>
    <w:rsid w:val="00FF2421"/>
    <w:rsid w:val="00FF5ABF"/>
    <w:rsid w:val="00FF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402"/>
    <w:pPr>
      <w:tabs>
        <w:tab w:val="center" w:pos="4513"/>
        <w:tab w:val="right" w:pos="9026"/>
      </w:tabs>
    </w:pPr>
  </w:style>
  <w:style w:type="character" w:customStyle="1" w:styleId="HeaderChar">
    <w:name w:val="Header Char"/>
    <w:basedOn w:val="DefaultParagraphFont"/>
    <w:link w:val="Header"/>
    <w:uiPriority w:val="99"/>
    <w:rsid w:val="00092402"/>
  </w:style>
  <w:style w:type="paragraph" w:styleId="Footer">
    <w:name w:val="footer"/>
    <w:basedOn w:val="Normal"/>
    <w:link w:val="FooterChar"/>
    <w:uiPriority w:val="99"/>
    <w:unhideWhenUsed/>
    <w:rsid w:val="00092402"/>
    <w:pPr>
      <w:tabs>
        <w:tab w:val="center" w:pos="4513"/>
        <w:tab w:val="right" w:pos="9026"/>
      </w:tabs>
    </w:pPr>
  </w:style>
  <w:style w:type="character" w:customStyle="1" w:styleId="FooterChar">
    <w:name w:val="Footer Char"/>
    <w:basedOn w:val="DefaultParagraphFont"/>
    <w:link w:val="Footer"/>
    <w:uiPriority w:val="99"/>
    <w:rsid w:val="00092402"/>
  </w:style>
  <w:style w:type="paragraph" w:styleId="ListParagraph">
    <w:name w:val="List Paragraph"/>
    <w:basedOn w:val="Normal"/>
    <w:uiPriority w:val="34"/>
    <w:qFormat/>
    <w:rsid w:val="00264FC2"/>
    <w:pPr>
      <w:ind w:left="720"/>
      <w:contextualSpacing/>
    </w:pPr>
  </w:style>
  <w:style w:type="paragraph" w:styleId="BalloonText">
    <w:name w:val="Balloon Text"/>
    <w:basedOn w:val="Normal"/>
    <w:link w:val="BalloonTextChar"/>
    <w:uiPriority w:val="99"/>
    <w:semiHidden/>
    <w:unhideWhenUsed/>
    <w:rsid w:val="008177DD"/>
    <w:rPr>
      <w:rFonts w:ascii="Tahoma" w:hAnsi="Tahoma" w:cs="Tahoma"/>
      <w:sz w:val="16"/>
      <w:szCs w:val="16"/>
    </w:rPr>
  </w:style>
  <w:style w:type="character" w:customStyle="1" w:styleId="BalloonTextChar">
    <w:name w:val="Balloon Text Char"/>
    <w:basedOn w:val="DefaultParagraphFont"/>
    <w:link w:val="BalloonText"/>
    <w:uiPriority w:val="99"/>
    <w:semiHidden/>
    <w:rsid w:val="008177DD"/>
    <w:rPr>
      <w:rFonts w:ascii="Tahoma" w:hAnsi="Tahoma" w:cs="Tahoma"/>
      <w:sz w:val="16"/>
      <w:szCs w:val="16"/>
    </w:rPr>
  </w:style>
  <w:style w:type="table" w:styleId="TableGrid">
    <w:name w:val="Table Grid"/>
    <w:basedOn w:val="TableNormal"/>
    <w:uiPriority w:val="59"/>
    <w:rsid w:val="00C0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7C6EE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AC112B"/>
    <w:rPr>
      <w:rFonts w:ascii="Times New Roman" w:eastAsia="Times New Roman" w:hAnsi="Times New Roman" w:cs="Times New Roman"/>
      <w:lang w:eastAsia="en-GB"/>
    </w:rPr>
  </w:style>
  <w:style w:type="paragraph" w:customStyle="1" w:styleId="Default">
    <w:name w:val="Default"/>
    <w:rsid w:val="00674076"/>
    <w:pPr>
      <w:autoSpaceDE w:val="0"/>
      <w:autoSpaceDN w:val="0"/>
      <w:adjustRightInd w:val="0"/>
    </w:pPr>
    <w:rPr>
      <w:rFonts w:ascii="Wingdings" w:hAnsi="Wingdings" w:cs="Wingdings"/>
      <w:color w:val="000000"/>
    </w:rPr>
  </w:style>
  <w:style w:type="paragraph" w:customStyle="1" w:styleId="CharCharCharChar">
    <w:name w:val="Char Char Char Char"/>
    <w:basedOn w:val="Normal"/>
    <w:rsid w:val="00623FE3"/>
    <w:pPr>
      <w:spacing w:after="160" w:line="240" w:lineRule="exact"/>
    </w:pPr>
    <w:rPr>
      <w:rFonts w:ascii="Verdana" w:eastAsia="Times New Roman" w:hAnsi="Verdana" w:cs="Times New Roman"/>
      <w:sz w:val="20"/>
      <w:szCs w:val="20"/>
    </w:rPr>
  </w:style>
  <w:style w:type="paragraph" w:styleId="TOC1">
    <w:name w:val="toc 1"/>
    <w:basedOn w:val="Normal"/>
    <w:next w:val="Normal"/>
    <w:autoRedefine/>
    <w:uiPriority w:val="39"/>
    <w:unhideWhenUsed/>
    <w:rsid w:val="00A00D69"/>
    <w:pPr>
      <w:tabs>
        <w:tab w:val="right" w:leader="dot" w:pos="9629"/>
      </w:tabs>
      <w:spacing w:after="200" w:line="276" w:lineRule="auto"/>
    </w:pPr>
    <w:rPr>
      <w:rFonts w:ascii="Calibri" w:eastAsia="Calibri" w:hAnsi="Calibri" w:cs="Times New Roman"/>
      <w:noProof/>
      <w:sz w:val="22"/>
      <w:szCs w:val="22"/>
    </w:rPr>
  </w:style>
  <w:style w:type="character" w:styleId="Hyperlink">
    <w:name w:val="Hyperlink"/>
    <w:uiPriority w:val="99"/>
    <w:unhideWhenUsed/>
    <w:rsid w:val="009B6DBE"/>
    <w:rPr>
      <w:color w:val="0000FF"/>
      <w:u w:val="single"/>
    </w:rPr>
  </w:style>
  <w:style w:type="table" w:customStyle="1" w:styleId="TableGrid1">
    <w:name w:val="Table Grid1"/>
    <w:basedOn w:val="TableNormal"/>
    <w:next w:val="TableGrid"/>
    <w:uiPriority w:val="59"/>
    <w:rsid w:val="00D10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C0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34C05"/>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AD7955"/>
    <w:rPr>
      <w:sz w:val="20"/>
      <w:szCs w:val="20"/>
    </w:rPr>
  </w:style>
  <w:style w:type="character" w:customStyle="1" w:styleId="FootnoteTextChar">
    <w:name w:val="Footnote Text Char"/>
    <w:basedOn w:val="DefaultParagraphFont"/>
    <w:link w:val="FootnoteText"/>
    <w:uiPriority w:val="99"/>
    <w:semiHidden/>
    <w:rsid w:val="00AD7955"/>
    <w:rPr>
      <w:sz w:val="20"/>
      <w:szCs w:val="20"/>
    </w:rPr>
  </w:style>
  <w:style w:type="character" w:styleId="FootnoteReference">
    <w:name w:val="footnote reference"/>
    <w:basedOn w:val="DefaultParagraphFont"/>
    <w:uiPriority w:val="99"/>
    <w:semiHidden/>
    <w:unhideWhenUsed/>
    <w:rsid w:val="00AD7955"/>
    <w:rPr>
      <w:vertAlign w:val="superscript"/>
    </w:rPr>
  </w:style>
  <w:style w:type="paragraph" w:customStyle="1" w:styleId="Text1">
    <w:name w:val="Text1"/>
    <w:basedOn w:val="Normal"/>
    <w:link w:val="Text1Char"/>
    <w:qFormat/>
    <w:rsid w:val="00AD7955"/>
    <w:pPr>
      <w:numPr>
        <w:numId w:val="33"/>
      </w:numPr>
      <w:spacing w:after="120" w:line="276" w:lineRule="auto"/>
      <w:ind w:left="357" w:hanging="357"/>
      <w:jc w:val="both"/>
    </w:pPr>
    <w:rPr>
      <w:rFonts w:ascii="Calibri" w:eastAsia="Times New Roman" w:hAnsi="Calibri" w:cs="Times New Roman"/>
      <w:sz w:val="22"/>
      <w:szCs w:val="22"/>
    </w:rPr>
  </w:style>
  <w:style w:type="character" w:customStyle="1" w:styleId="Text1Char">
    <w:name w:val="Text1 Char"/>
    <w:basedOn w:val="DefaultParagraphFont"/>
    <w:link w:val="Text1"/>
    <w:rsid w:val="00AD7955"/>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402"/>
    <w:pPr>
      <w:tabs>
        <w:tab w:val="center" w:pos="4513"/>
        <w:tab w:val="right" w:pos="9026"/>
      </w:tabs>
    </w:pPr>
  </w:style>
  <w:style w:type="character" w:customStyle="1" w:styleId="HeaderChar">
    <w:name w:val="Header Char"/>
    <w:basedOn w:val="DefaultParagraphFont"/>
    <w:link w:val="Header"/>
    <w:uiPriority w:val="99"/>
    <w:rsid w:val="00092402"/>
  </w:style>
  <w:style w:type="paragraph" w:styleId="Footer">
    <w:name w:val="footer"/>
    <w:basedOn w:val="Normal"/>
    <w:link w:val="FooterChar"/>
    <w:uiPriority w:val="99"/>
    <w:unhideWhenUsed/>
    <w:rsid w:val="00092402"/>
    <w:pPr>
      <w:tabs>
        <w:tab w:val="center" w:pos="4513"/>
        <w:tab w:val="right" w:pos="9026"/>
      </w:tabs>
    </w:pPr>
  </w:style>
  <w:style w:type="character" w:customStyle="1" w:styleId="FooterChar">
    <w:name w:val="Footer Char"/>
    <w:basedOn w:val="DefaultParagraphFont"/>
    <w:link w:val="Footer"/>
    <w:uiPriority w:val="99"/>
    <w:rsid w:val="00092402"/>
  </w:style>
  <w:style w:type="paragraph" w:styleId="ListParagraph">
    <w:name w:val="List Paragraph"/>
    <w:basedOn w:val="Normal"/>
    <w:uiPriority w:val="34"/>
    <w:qFormat/>
    <w:rsid w:val="00264FC2"/>
    <w:pPr>
      <w:ind w:left="720"/>
      <w:contextualSpacing/>
    </w:pPr>
  </w:style>
  <w:style w:type="paragraph" w:styleId="BalloonText">
    <w:name w:val="Balloon Text"/>
    <w:basedOn w:val="Normal"/>
    <w:link w:val="BalloonTextChar"/>
    <w:uiPriority w:val="99"/>
    <w:semiHidden/>
    <w:unhideWhenUsed/>
    <w:rsid w:val="008177DD"/>
    <w:rPr>
      <w:rFonts w:ascii="Tahoma" w:hAnsi="Tahoma" w:cs="Tahoma"/>
      <w:sz w:val="16"/>
      <w:szCs w:val="16"/>
    </w:rPr>
  </w:style>
  <w:style w:type="character" w:customStyle="1" w:styleId="BalloonTextChar">
    <w:name w:val="Balloon Text Char"/>
    <w:basedOn w:val="DefaultParagraphFont"/>
    <w:link w:val="BalloonText"/>
    <w:uiPriority w:val="99"/>
    <w:semiHidden/>
    <w:rsid w:val="008177DD"/>
    <w:rPr>
      <w:rFonts w:ascii="Tahoma" w:hAnsi="Tahoma" w:cs="Tahoma"/>
      <w:sz w:val="16"/>
      <w:szCs w:val="16"/>
    </w:rPr>
  </w:style>
  <w:style w:type="table" w:styleId="TableGrid">
    <w:name w:val="Table Grid"/>
    <w:basedOn w:val="TableNormal"/>
    <w:uiPriority w:val="59"/>
    <w:rsid w:val="00C0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7C6EE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AC112B"/>
    <w:rPr>
      <w:rFonts w:ascii="Times New Roman" w:eastAsia="Times New Roman" w:hAnsi="Times New Roman" w:cs="Times New Roman"/>
      <w:lang w:eastAsia="en-GB"/>
    </w:rPr>
  </w:style>
  <w:style w:type="paragraph" w:customStyle="1" w:styleId="Default">
    <w:name w:val="Default"/>
    <w:rsid w:val="00674076"/>
    <w:pPr>
      <w:autoSpaceDE w:val="0"/>
      <w:autoSpaceDN w:val="0"/>
      <w:adjustRightInd w:val="0"/>
    </w:pPr>
    <w:rPr>
      <w:rFonts w:ascii="Wingdings" w:hAnsi="Wingdings" w:cs="Wingdings"/>
      <w:color w:val="000000"/>
    </w:rPr>
  </w:style>
  <w:style w:type="paragraph" w:customStyle="1" w:styleId="CharCharCharChar">
    <w:name w:val="Char Char Char Char"/>
    <w:basedOn w:val="Normal"/>
    <w:rsid w:val="00623FE3"/>
    <w:pPr>
      <w:spacing w:after="160" w:line="240" w:lineRule="exact"/>
    </w:pPr>
    <w:rPr>
      <w:rFonts w:ascii="Verdana" w:eastAsia="Times New Roman" w:hAnsi="Verdana" w:cs="Times New Roman"/>
      <w:sz w:val="20"/>
      <w:szCs w:val="20"/>
    </w:rPr>
  </w:style>
  <w:style w:type="paragraph" w:styleId="TOC1">
    <w:name w:val="toc 1"/>
    <w:basedOn w:val="Normal"/>
    <w:next w:val="Normal"/>
    <w:autoRedefine/>
    <w:uiPriority w:val="39"/>
    <w:unhideWhenUsed/>
    <w:rsid w:val="00A00D69"/>
    <w:pPr>
      <w:tabs>
        <w:tab w:val="right" w:leader="dot" w:pos="9629"/>
      </w:tabs>
      <w:spacing w:after="200" w:line="276" w:lineRule="auto"/>
    </w:pPr>
    <w:rPr>
      <w:rFonts w:ascii="Calibri" w:eastAsia="Calibri" w:hAnsi="Calibri" w:cs="Times New Roman"/>
      <w:noProof/>
      <w:sz w:val="22"/>
      <w:szCs w:val="22"/>
    </w:rPr>
  </w:style>
  <w:style w:type="character" w:styleId="Hyperlink">
    <w:name w:val="Hyperlink"/>
    <w:uiPriority w:val="99"/>
    <w:unhideWhenUsed/>
    <w:rsid w:val="009B6DBE"/>
    <w:rPr>
      <w:color w:val="0000FF"/>
      <w:u w:val="single"/>
    </w:rPr>
  </w:style>
  <w:style w:type="table" w:customStyle="1" w:styleId="TableGrid1">
    <w:name w:val="Table Grid1"/>
    <w:basedOn w:val="TableNormal"/>
    <w:next w:val="TableGrid"/>
    <w:uiPriority w:val="59"/>
    <w:rsid w:val="00D10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C0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34C05"/>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AD7955"/>
    <w:rPr>
      <w:sz w:val="20"/>
      <w:szCs w:val="20"/>
    </w:rPr>
  </w:style>
  <w:style w:type="character" w:customStyle="1" w:styleId="FootnoteTextChar">
    <w:name w:val="Footnote Text Char"/>
    <w:basedOn w:val="DefaultParagraphFont"/>
    <w:link w:val="FootnoteText"/>
    <w:uiPriority w:val="99"/>
    <w:semiHidden/>
    <w:rsid w:val="00AD7955"/>
    <w:rPr>
      <w:sz w:val="20"/>
      <w:szCs w:val="20"/>
    </w:rPr>
  </w:style>
  <w:style w:type="character" w:styleId="FootnoteReference">
    <w:name w:val="footnote reference"/>
    <w:basedOn w:val="DefaultParagraphFont"/>
    <w:uiPriority w:val="99"/>
    <w:semiHidden/>
    <w:unhideWhenUsed/>
    <w:rsid w:val="00AD7955"/>
    <w:rPr>
      <w:vertAlign w:val="superscript"/>
    </w:rPr>
  </w:style>
  <w:style w:type="paragraph" w:customStyle="1" w:styleId="Text1">
    <w:name w:val="Text1"/>
    <w:basedOn w:val="Normal"/>
    <w:link w:val="Text1Char"/>
    <w:qFormat/>
    <w:rsid w:val="00AD7955"/>
    <w:pPr>
      <w:numPr>
        <w:numId w:val="33"/>
      </w:numPr>
      <w:spacing w:after="120" w:line="276" w:lineRule="auto"/>
      <w:ind w:left="357" w:hanging="357"/>
      <w:jc w:val="both"/>
    </w:pPr>
    <w:rPr>
      <w:rFonts w:ascii="Calibri" w:eastAsia="Times New Roman" w:hAnsi="Calibri" w:cs="Times New Roman"/>
      <w:sz w:val="22"/>
      <w:szCs w:val="22"/>
    </w:rPr>
  </w:style>
  <w:style w:type="character" w:customStyle="1" w:styleId="Text1Char">
    <w:name w:val="Text1 Char"/>
    <w:basedOn w:val="DefaultParagraphFont"/>
    <w:link w:val="Text1"/>
    <w:rsid w:val="00AD795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0681">
      <w:bodyDiv w:val="1"/>
      <w:marLeft w:val="0"/>
      <w:marRight w:val="0"/>
      <w:marTop w:val="0"/>
      <w:marBottom w:val="0"/>
      <w:divBdr>
        <w:top w:val="none" w:sz="0" w:space="0" w:color="auto"/>
        <w:left w:val="none" w:sz="0" w:space="0" w:color="auto"/>
        <w:bottom w:val="none" w:sz="0" w:space="0" w:color="auto"/>
        <w:right w:val="none" w:sz="0" w:space="0" w:color="auto"/>
      </w:divBdr>
    </w:div>
    <w:div w:id="422266031">
      <w:bodyDiv w:val="1"/>
      <w:marLeft w:val="0"/>
      <w:marRight w:val="0"/>
      <w:marTop w:val="0"/>
      <w:marBottom w:val="0"/>
      <w:divBdr>
        <w:top w:val="none" w:sz="0" w:space="0" w:color="auto"/>
        <w:left w:val="none" w:sz="0" w:space="0" w:color="auto"/>
        <w:bottom w:val="none" w:sz="0" w:space="0" w:color="auto"/>
        <w:right w:val="none" w:sz="0" w:space="0" w:color="auto"/>
      </w:divBdr>
    </w:div>
    <w:div w:id="839155493">
      <w:bodyDiv w:val="1"/>
      <w:marLeft w:val="0"/>
      <w:marRight w:val="0"/>
      <w:marTop w:val="0"/>
      <w:marBottom w:val="0"/>
      <w:divBdr>
        <w:top w:val="none" w:sz="0" w:space="0" w:color="auto"/>
        <w:left w:val="none" w:sz="0" w:space="0" w:color="auto"/>
        <w:bottom w:val="none" w:sz="0" w:space="0" w:color="auto"/>
        <w:right w:val="none" w:sz="0" w:space="0" w:color="auto"/>
      </w:divBdr>
      <w:divsChild>
        <w:div w:id="1461265035">
          <w:marLeft w:val="0"/>
          <w:marRight w:val="0"/>
          <w:marTop w:val="0"/>
          <w:marBottom w:val="100"/>
          <w:divBdr>
            <w:top w:val="none" w:sz="0" w:space="0" w:color="auto"/>
            <w:left w:val="none" w:sz="0" w:space="0" w:color="auto"/>
            <w:bottom w:val="none" w:sz="0" w:space="0" w:color="auto"/>
            <w:right w:val="none" w:sz="0" w:space="0" w:color="auto"/>
          </w:divBdr>
          <w:divsChild>
            <w:div w:id="606549385">
              <w:marLeft w:val="0"/>
              <w:marRight w:val="0"/>
              <w:marTop w:val="0"/>
              <w:marBottom w:val="0"/>
              <w:divBdr>
                <w:top w:val="none" w:sz="0" w:space="0" w:color="auto"/>
                <w:left w:val="none" w:sz="0" w:space="0" w:color="auto"/>
                <w:bottom w:val="none" w:sz="0" w:space="0" w:color="auto"/>
                <w:right w:val="none" w:sz="0" w:space="0" w:color="auto"/>
              </w:divBdr>
              <w:divsChild>
                <w:div w:id="1379620808">
                  <w:marLeft w:val="2700"/>
                  <w:marRight w:val="2700"/>
                  <w:marTop w:val="0"/>
                  <w:marBottom w:val="0"/>
                  <w:divBdr>
                    <w:top w:val="none" w:sz="0" w:space="0" w:color="auto"/>
                    <w:left w:val="none" w:sz="0" w:space="0" w:color="auto"/>
                    <w:bottom w:val="none" w:sz="0" w:space="0" w:color="auto"/>
                    <w:right w:val="none" w:sz="0" w:space="0" w:color="auto"/>
                  </w:divBdr>
                  <w:divsChild>
                    <w:div w:id="1843084601">
                      <w:marLeft w:val="285"/>
                      <w:marRight w:val="285"/>
                      <w:marTop w:val="285"/>
                      <w:marBottom w:val="285"/>
                      <w:divBdr>
                        <w:top w:val="none" w:sz="0" w:space="0" w:color="auto"/>
                        <w:left w:val="none" w:sz="0" w:space="0" w:color="auto"/>
                        <w:bottom w:val="none" w:sz="0" w:space="0" w:color="auto"/>
                        <w:right w:val="none" w:sz="0" w:space="0" w:color="auto"/>
                      </w:divBdr>
                      <w:divsChild>
                        <w:div w:id="540673174">
                          <w:marLeft w:val="0"/>
                          <w:marRight w:val="0"/>
                          <w:marTop w:val="0"/>
                          <w:marBottom w:val="0"/>
                          <w:divBdr>
                            <w:top w:val="none" w:sz="0" w:space="0" w:color="auto"/>
                            <w:left w:val="none" w:sz="0" w:space="0" w:color="auto"/>
                            <w:bottom w:val="none" w:sz="0" w:space="0" w:color="auto"/>
                            <w:right w:val="none" w:sz="0" w:space="0" w:color="auto"/>
                          </w:divBdr>
                          <w:divsChild>
                            <w:div w:id="15178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1460">
      <w:bodyDiv w:val="1"/>
      <w:marLeft w:val="0"/>
      <w:marRight w:val="0"/>
      <w:marTop w:val="0"/>
      <w:marBottom w:val="0"/>
      <w:divBdr>
        <w:top w:val="none" w:sz="0" w:space="0" w:color="auto"/>
        <w:left w:val="none" w:sz="0" w:space="0" w:color="auto"/>
        <w:bottom w:val="none" w:sz="0" w:space="0" w:color="auto"/>
        <w:right w:val="none" w:sz="0" w:space="0" w:color="auto"/>
      </w:divBdr>
    </w:div>
    <w:div w:id="884491714">
      <w:bodyDiv w:val="1"/>
      <w:marLeft w:val="0"/>
      <w:marRight w:val="0"/>
      <w:marTop w:val="0"/>
      <w:marBottom w:val="0"/>
      <w:divBdr>
        <w:top w:val="none" w:sz="0" w:space="0" w:color="auto"/>
        <w:left w:val="none" w:sz="0" w:space="0" w:color="auto"/>
        <w:bottom w:val="none" w:sz="0" w:space="0" w:color="auto"/>
        <w:right w:val="none" w:sz="0" w:space="0" w:color="auto"/>
      </w:divBdr>
    </w:div>
    <w:div w:id="1018312978">
      <w:bodyDiv w:val="1"/>
      <w:marLeft w:val="0"/>
      <w:marRight w:val="0"/>
      <w:marTop w:val="0"/>
      <w:marBottom w:val="0"/>
      <w:divBdr>
        <w:top w:val="none" w:sz="0" w:space="0" w:color="auto"/>
        <w:left w:val="none" w:sz="0" w:space="0" w:color="auto"/>
        <w:bottom w:val="none" w:sz="0" w:space="0" w:color="auto"/>
        <w:right w:val="none" w:sz="0" w:space="0" w:color="auto"/>
      </w:divBdr>
      <w:divsChild>
        <w:div w:id="745227470">
          <w:marLeft w:val="0"/>
          <w:marRight w:val="0"/>
          <w:marTop w:val="0"/>
          <w:marBottom w:val="100"/>
          <w:divBdr>
            <w:top w:val="none" w:sz="0" w:space="0" w:color="auto"/>
            <w:left w:val="none" w:sz="0" w:space="0" w:color="auto"/>
            <w:bottom w:val="none" w:sz="0" w:space="0" w:color="auto"/>
            <w:right w:val="none" w:sz="0" w:space="0" w:color="auto"/>
          </w:divBdr>
          <w:divsChild>
            <w:div w:id="519247621">
              <w:marLeft w:val="0"/>
              <w:marRight w:val="0"/>
              <w:marTop w:val="0"/>
              <w:marBottom w:val="0"/>
              <w:divBdr>
                <w:top w:val="none" w:sz="0" w:space="0" w:color="auto"/>
                <w:left w:val="none" w:sz="0" w:space="0" w:color="auto"/>
                <w:bottom w:val="none" w:sz="0" w:space="0" w:color="auto"/>
                <w:right w:val="none" w:sz="0" w:space="0" w:color="auto"/>
              </w:divBdr>
              <w:divsChild>
                <w:div w:id="823132264">
                  <w:marLeft w:val="2700"/>
                  <w:marRight w:val="2700"/>
                  <w:marTop w:val="0"/>
                  <w:marBottom w:val="0"/>
                  <w:divBdr>
                    <w:top w:val="none" w:sz="0" w:space="0" w:color="auto"/>
                    <w:left w:val="none" w:sz="0" w:space="0" w:color="auto"/>
                    <w:bottom w:val="none" w:sz="0" w:space="0" w:color="auto"/>
                    <w:right w:val="none" w:sz="0" w:space="0" w:color="auto"/>
                  </w:divBdr>
                  <w:divsChild>
                    <w:div w:id="1749035149">
                      <w:marLeft w:val="285"/>
                      <w:marRight w:val="285"/>
                      <w:marTop w:val="285"/>
                      <w:marBottom w:val="285"/>
                      <w:divBdr>
                        <w:top w:val="none" w:sz="0" w:space="0" w:color="auto"/>
                        <w:left w:val="none" w:sz="0" w:space="0" w:color="auto"/>
                        <w:bottom w:val="none" w:sz="0" w:space="0" w:color="auto"/>
                        <w:right w:val="none" w:sz="0" w:space="0" w:color="auto"/>
                      </w:divBdr>
                      <w:divsChild>
                        <w:div w:id="1867981385">
                          <w:marLeft w:val="0"/>
                          <w:marRight w:val="0"/>
                          <w:marTop w:val="0"/>
                          <w:marBottom w:val="0"/>
                          <w:divBdr>
                            <w:top w:val="none" w:sz="0" w:space="0" w:color="auto"/>
                            <w:left w:val="none" w:sz="0" w:space="0" w:color="auto"/>
                            <w:bottom w:val="none" w:sz="0" w:space="0" w:color="auto"/>
                            <w:right w:val="none" w:sz="0" w:space="0" w:color="auto"/>
                          </w:divBdr>
                          <w:divsChild>
                            <w:div w:id="13223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559740">
      <w:bodyDiv w:val="1"/>
      <w:marLeft w:val="0"/>
      <w:marRight w:val="0"/>
      <w:marTop w:val="0"/>
      <w:marBottom w:val="0"/>
      <w:divBdr>
        <w:top w:val="none" w:sz="0" w:space="0" w:color="auto"/>
        <w:left w:val="none" w:sz="0" w:space="0" w:color="auto"/>
        <w:bottom w:val="none" w:sz="0" w:space="0" w:color="auto"/>
        <w:right w:val="none" w:sz="0" w:space="0" w:color="auto"/>
      </w:divBdr>
    </w:div>
    <w:div w:id="1504853242">
      <w:bodyDiv w:val="1"/>
      <w:marLeft w:val="0"/>
      <w:marRight w:val="0"/>
      <w:marTop w:val="0"/>
      <w:marBottom w:val="0"/>
      <w:divBdr>
        <w:top w:val="none" w:sz="0" w:space="0" w:color="auto"/>
        <w:left w:val="none" w:sz="0" w:space="0" w:color="auto"/>
        <w:bottom w:val="none" w:sz="0" w:space="0" w:color="auto"/>
        <w:right w:val="none" w:sz="0" w:space="0" w:color="auto"/>
      </w:divBdr>
    </w:div>
    <w:div w:id="1517159022">
      <w:bodyDiv w:val="1"/>
      <w:marLeft w:val="0"/>
      <w:marRight w:val="0"/>
      <w:marTop w:val="0"/>
      <w:marBottom w:val="0"/>
      <w:divBdr>
        <w:top w:val="none" w:sz="0" w:space="0" w:color="auto"/>
        <w:left w:val="none" w:sz="0" w:space="0" w:color="auto"/>
        <w:bottom w:val="none" w:sz="0" w:space="0" w:color="auto"/>
        <w:right w:val="none" w:sz="0" w:space="0" w:color="auto"/>
      </w:divBdr>
    </w:div>
    <w:div w:id="1560242426">
      <w:bodyDiv w:val="1"/>
      <w:marLeft w:val="0"/>
      <w:marRight w:val="0"/>
      <w:marTop w:val="0"/>
      <w:marBottom w:val="0"/>
      <w:divBdr>
        <w:top w:val="none" w:sz="0" w:space="0" w:color="auto"/>
        <w:left w:val="none" w:sz="0" w:space="0" w:color="auto"/>
        <w:bottom w:val="none" w:sz="0" w:space="0" w:color="auto"/>
        <w:right w:val="none" w:sz="0" w:space="0" w:color="auto"/>
      </w:divBdr>
    </w:div>
    <w:div w:id="21087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2%20Background%20Notes%20&amp;%20Information\AMR%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2%20Background%20Notes%20&amp;%20Information\AMR%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2%20Background%20Notes%20&amp;%20Information\AMR%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groups.occ.local\groups\Planning\plan_policy\Annual%20Monitoring%20Report\AMR2014\02%20Background%20Notes%20&amp;%20Information\AMR%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3%20Access%20reports\Housing%20data\Indicator%2012a%20Completions%202013-14%20MI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2%20Background%20Notes%20&amp;%20Information\AMR%20Chart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groups.occ.local\groups\Planning\plan_policy\Annual%20Monitoring%20Report\AMR2014\Student%20Accommodation%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3%20Access%20Reports%20&amp;%20Data\Student%20Accomodation\Student%20Accommodation%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groups.occ.local\groups\Planning\plan_policy\Annual%20Monitoring%20Report\AMR2014\03%20Access%20reports\Traffic%20Data%20from%20County\Indicator%2034%20-%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'Vacant Units'!$D$3</c:f>
              <c:strCache>
                <c:ptCount val="1"/>
                <c:pt idx="0">
                  <c:v>2013/14</c:v>
                </c:pt>
              </c:strCache>
            </c:strRef>
          </c:tx>
          <c:invertIfNegative val="0"/>
          <c:cat>
            <c:strRef>
              <c:f>'Vacant Units'!$C$4:$C$8</c:f>
              <c:strCache>
                <c:ptCount val="5"/>
                <c:pt idx="0">
                  <c:v>City Centre</c:v>
                </c:pt>
                <c:pt idx="1">
                  <c:v>Cowley Templar Square</c:v>
                </c:pt>
                <c:pt idx="2">
                  <c:v>Cowley Road</c:v>
                </c:pt>
                <c:pt idx="3">
                  <c:v>Headington</c:v>
                </c:pt>
                <c:pt idx="4">
                  <c:v>Summertown</c:v>
                </c:pt>
              </c:strCache>
            </c:strRef>
          </c:cat>
          <c:val>
            <c:numRef>
              <c:f>'Vacant Units'!$D$4:$D$8</c:f>
              <c:numCache>
                <c:formatCode>0%</c:formatCode>
                <c:ptCount val="5"/>
                <c:pt idx="0" formatCode="0.00%">
                  <c:v>6.2E-2</c:v>
                </c:pt>
                <c:pt idx="1">
                  <c:v>0.1</c:v>
                </c:pt>
                <c:pt idx="2" formatCode="0.00%">
                  <c:v>1.9E-2</c:v>
                </c:pt>
                <c:pt idx="3" formatCode="0.00%">
                  <c:v>5.3999999999999999E-2</c:v>
                </c:pt>
                <c:pt idx="4">
                  <c:v>0.02</c:v>
                </c:pt>
              </c:numCache>
            </c:numRef>
          </c:val>
        </c:ser>
        <c:ser>
          <c:idx val="1"/>
          <c:order val="1"/>
          <c:tx>
            <c:strRef>
              <c:f>'Vacant Units'!$E$3</c:f>
              <c:strCache>
                <c:ptCount val="1"/>
                <c:pt idx="0">
                  <c:v>2012/13</c:v>
                </c:pt>
              </c:strCache>
            </c:strRef>
          </c:tx>
          <c:invertIfNegative val="0"/>
          <c:cat>
            <c:strRef>
              <c:f>'Vacant Units'!$C$4:$C$8</c:f>
              <c:strCache>
                <c:ptCount val="5"/>
                <c:pt idx="0">
                  <c:v>City Centre</c:v>
                </c:pt>
                <c:pt idx="1">
                  <c:v>Cowley Templar Square</c:v>
                </c:pt>
                <c:pt idx="2">
                  <c:v>Cowley Road</c:v>
                </c:pt>
                <c:pt idx="3">
                  <c:v>Headington</c:v>
                </c:pt>
                <c:pt idx="4">
                  <c:v>Summertown</c:v>
                </c:pt>
              </c:strCache>
            </c:strRef>
          </c:cat>
          <c:val>
            <c:numRef>
              <c:f>'Vacant Units'!$E$4:$E$8</c:f>
              <c:numCache>
                <c:formatCode>0.00%</c:formatCode>
                <c:ptCount val="5"/>
                <c:pt idx="0" formatCode="0%">
                  <c:v>0.02</c:v>
                </c:pt>
                <c:pt idx="1">
                  <c:v>6.5000000000000002E-2</c:v>
                </c:pt>
                <c:pt idx="2">
                  <c:v>1.4999999999999999E-2</c:v>
                </c:pt>
                <c:pt idx="3" formatCode="0%">
                  <c:v>0.03</c:v>
                </c:pt>
                <c:pt idx="4">
                  <c:v>1.4999999999999999E-2</c:v>
                </c:pt>
              </c:numCache>
            </c:numRef>
          </c:val>
        </c:ser>
        <c:ser>
          <c:idx val="2"/>
          <c:order val="2"/>
          <c:tx>
            <c:strRef>
              <c:f>'Vacant Units'!$F$3</c:f>
              <c:strCache>
                <c:ptCount val="1"/>
                <c:pt idx="0">
                  <c:v>2011/12</c:v>
                </c:pt>
              </c:strCache>
            </c:strRef>
          </c:tx>
          <c:invertIfNegative val="0"/>
          <c:cat>
            <c:strRef>
              <c:f>'Vacant Units'!$C$4:$C$8</c:f>
              <c:strCache>
                <c:ptCount val="5"/>
                <c:pt idx="0">
                  <c:v>City Centre</c:v>
                </c:pt>
                <c:pt idx="1">
                  <c:v>Cowley Templar Square</c:v>
                </c:pt>
                <c:pt idx="2">
                  <c:v>Cowley Road</c:v>
                </c:pt>
                <c:pt idx="3">
                  <c:v>Headington</c:v>
                </c:pt>
                <c:pt idx="4">
                  <c:v>Summertown</c:v>
                </c:pt>
              </c:strCache>
            </c:strRef>
          </c:cat>
          <c:val>
            <c:numRef>
              <c:f>'Vacant Units'!$F$4:$F$8</c:f>
              <c:numCache>
                <c:formatCode>0.00%</c:formatCode>
                <c:ptCount val="5"/>
                <c:pt idx="0" formatCode="0%">
                  <c:v>0.04</c:v>
                </c:pt>
                <c:pt idx="1">
                  <c:v>0.105</c:v>
                </c:pt>
                <c:pt idx="2" formatCode="0%">
                  <c:v>0.02</c:v>
                </c:pt>
                <c:pt idx="3">
                  <c:v>2.5000000000000001E-2</c:v>
                </c:pt>
                <c:pt idx="4" formatCode="0%">
                  <c:v>0.02</c:v>
                </c:pt>
              </c:numCache>
            </c:numRef>
          </c:val>
        </c:ser>
        <c:dLbls>
          <c:showLegendKey val="0"/>
          <c:showVal val="0"/>
          <c:showCatName val="0"/>
          <c:showSerName val="0"/>
          <c:showPercent val="0"/>
          <c:showBubbleSize val="0"/>
        </c:dLbls>
        <c:gapWidth val="150"/>
        <c:axId val="210253696"/>
        <c:axId val="210264064"/>
      </c:barChart>
      <c:catAx>
        <c:axId val="210253696"/>
        <c:scaling>
          <c:orientation val="minMax"/>
        </c:scaling>
        <c:delete val="0"/>
        <c:axPos val="b"/>
        <c:title>
          <c:tx>
            <c:rich>
              <a:bodyPr/>
              <a:lstStyle/>
              <a:p>
                <a:pPr>
                  <a:defRPr/>
                </a:pPr>
                <a:r>
                  <a:rPr lang="en-GB">
                    <a:solidFill>
                      <a:schemeClr val="tx1">
                        <a:lumMod val="75000"/>
                        <a:lumOff val="25000"/>
                      </a:schemeClr>
                    </a:solidFill>
                  </a:rPr>
                  <a:t>Designated frontage</a:t>
                </a:r>
                <a:r>
                  <a:rPr lang="en-GB"/>
                  <a:t>s</a:t>
                </a:r>
              </a:p>
            </c:rich>
          </c:tx>
          <c:overlay val="0"/>
        </c:title>
        <c:majorTickMark val="out"/>
        <c:minorTickMark val="none"/>
        <c:tickLblPos val="nextTo"/>
        <c:crossAx val="210264064"/>
        <c:crosses val="autoZero"/>
        <c:auto val="1"/>
        <c:lblAlgn val="ctr"/>
        <c:lblOffset val="100"/>
        <c:noMultiLvlLbl val="0"/>
      </c:catAx>
      <c:valAx>
        <c:axId val="210264064"/>
        <c:scaling>
          <c:orientation val="minMax"/>
        </c:scaling>
        <c:delete val="0"/>
        <c:axPos val="l"/>
        <c:majorGridlines/>
        <c:title>
          <c:tx>
            <c:rich>
              <a:bodyPr rot="-5400000" vert="horz"/>
              <a:lstStyle/>
              <a:p>
                <a:pPr>
                  <a:defRPr/>
                </a:pPr>
                <a:r>
                  <a:rPr lang="en-GB">
                    <a:solidFill>
                      <a:schemeClr val="tx1">
                        <a:lumMod val="75000"/>
                        <a:lumOff val="25000"/>
                      </a:schemeClr>
                    </a:solidFill>
                  </a:rPr>
                  <a:t>Proportion</a:t>
                </a:r>
                <a:r>
                  <a:rPr lang="en-GB" baseline="0">
                    <a:solidFill>
                      <a:schemeClr val="tx1">
                        <a:lumMod val="75000"/>
                        <a:lumOff val="25000"/>
                      </a:schemeClr>
                    </a:solidFill>
                  </a:rPr>
                  <a:t> of vacant unit</a:t>
                </a:r>
                <a:r>
                  <a:rPr lang="en-GB" baseline="0"/>
                  <a:t>s</a:t>
                </a:r>
                <a:endParaRPr lang="en-GB"/>
              </a:p>
            </c:rich>
          </c:tx>
          <c:overlay val="0"/>
        </c:title>
        <c:numFmt formatCode="0.00%" sourceLinked="1"/>
        <c:majorTickMark val="out"/>
        <c:minorTickMark val="none"/>
        <c:tickLblPos val="nextTo"/>
        <c:crossAx val="2102536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pieChart>
        <c:varyColors val="1"/>
        <c:ser>
          <c:idx val="0"/>
          <c:order val="0"/>
          <c:dLbls>
            <c:dLblPos val="outEnd"/>
            <c:showLegendKey val="0"/>
            <c:showVal val="0"/>
            <c:showCatName val="0"/>
            <c:showSerName val="0"/>
            <c:showPercent val="1"/>
            <c:showBubbleSize val="0"/>
            <c:separator> </c:separator>
            <c:showLeaderLines val="0"/>
          </c:dLbls>
          <c:cat>
            <c:strRef>
              <c:f>Appeals!$A$4:$A$6</c:f>
              <c:strCache>
                <c:ptCount val="3"/>
                <c:pt idx="0">
                  <c:v>Dismissed</c:v>
                </c:pt>
                <c:pt idx="1">
                  <c:v>Allowed</c:v>
                </c:pt>
                <c:pt idx="2">
                  <c:v>Split</c:v>
                </c:pt>
              </c:strCache>
            </c:strRef>
          </c:cat>
          <c:val>
            <c:numRef>
              <c:f>Appeals!$B$4:$B$6</c:f>
              <c:numCache>
                <c:formatCode>General</c:formatCode>
                <c:ptCount val="3"/>
                <c:pt idx="0">
                  <c:v>42</c:v>
                </c:pt>
                <c:pt idx="1">
                  <c:v>14</c:v>
                </c:pt>
                <c:pt idx="2">
                  <c:v>1</c:v>
                </c:pt>
              </c:numCache>
            </c:numRef>
          </c:val>
        </c:ser>
        <c:dLbls>
          <c:dLblPos val="outEnd"/>
          <c:showLegendKey val="0"/>
          <c:showVal val="1"/>
          <c:showCatName val="0"/>
          <c:showSerName val="0"/>
          <c:showPercent val="0"/>
          <c:showBubbleSize val="0"/>
          <c:showLeaderLines val="0"/>
        </c:dLbls>
        <c:firstSliceAng val="0"/>
      </c:pieChart>
    </c:plotArea>
    <c:legend>
      <c:legendPos val="r"/>
      <c:layout>
        <c:manualLayout>
          <c:xMode val="edge"/>
          <c:yMode val="edge"/>
          <c:x val="0.73701487314085734"/>
          <c:y val="0.28646106736657917"/>
          <c:w val="0.24631846019247594"/>
          <c:h val="0.33911453776611256"/>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percentStacked"/>
        <c:varyColors val="0"/>
        <c:ser>
          <c:idx val="0"/>
          <c:order val="0"/>
          <c:tx>
            <c:strRef>
              <c:f>'Dwellings PDL'!$C$16</c:f>
              <c:strCache>
                <c:ptCount val="1"/>
                <c:pt idx="0">
                  <c:v>PDL</c:v>
                </c:pt>
              </c:strCache>
            </c:strRef>
          </c:tx>
          <c:invertIfNegative val="0"/>
          <c:cat>
            <c:strRef>
              <c:f>'Dwellings PDL'!$B$17:$B$20</c:f>
              <c:strCache>
                <c:ptCount val="4"/>
                <c:pt idx="0">
                  <c:v>2010/11</c:v>
                </c:pt>
                <c:pt idx="1">
                  <c:v>2011/12</c:v>
                </c:pt>
                <c:pt idx="2">
                  <c:v>2012/13</c:v>
                </c:pt>
                <c:pt idx="3">
                  <c:v>2013/14</c:v>
                </c:pt>
              </c:strCache>
            </c:strRef>
          </c:cat>
          <c:val>
            <c:numRef>
              <c:f>'Dwellings PDL'!$C$17:$C$20</c:f>
              <c:numCache>
                <c:formatCode>General</c:formatCode>
                <c:ptCount val="4"/>
                <c:pt idx="0">
                  <c:v>75.400000000000006</c:v>
                </c:pt>
                <c:pt idx="1">
                  <c:v>74.3</c:v>
                </c:pt>
                <c:pt idx="2">
                  <c:v>79.400000000000006</c:v>
                </c:pt>
                <c:pt idx="3">
                  <c:v>62.3</c:v>
                </c:pt>
              </c:numCache>
            </c:numRef>
          </c:val>
        </c:ser>
        <c:ser>
          <c:idx val="1"/>
          <c:order val="1"/>
          <c:tx>
            <c:strRef>
              <c:f>'Dwellings PDL'!$D$16</c:f>
              <c:strCache>
                <c:ptCount val="1"/>
                <c:pt idx="0">
                  <c:v>Garden Land</c:v>
                </c:pt>
              </c:strCache>
            </c:strRef>
          </c:tx>
          <c:invertIfNegative val="0"/>
          <c:cat>
            <c:strRef>
              <c:f>'Dwellings PDL'!$B$17:$B$20</c:f>
              <c:strCache>
                <c:ptCount val="4"/>
                <c:pt idx="0">
                  <c:v>2010/11</c:v>
                </c:pt>
                <c:pt idx="1">
                  <c:v>2011/12</c:v>
                </c:pt>
                <c:pt idx="2">
                  <c:v>2012/13</c:v>
                </c:pt>
                <c:pt idx="3">
                  <c:v>2013/14</c:v>
                </c:pt>
              </c:strCache>
            </c:strRef>
          </c:cat>
          <c:val>
            <c:numRef>
              <c:f>'Dwellings PDL'!$D$17:$D$20</c:f>
              <c:numCache>
                <c:formatCode>General</c:formatCode>
                <c:ptCount val="4"/>
                <c:pt idx="0">
                  <c:v>24.6</c:v>
                </c:pt>
                <c:pt idx="1">
                  <c:v>25.6</c:v>
                </c:pt>
                <c:pt idx="2">
                  <c:v>20.2</c:v>
                </c:pt>
                <c:pt idx="3">
                  <c:v>37.700000000000003</c:v>
                </c:pt>
              </c:numCache>
            </c:numRef>
          </c:val>
        </c:ser>
        <c:ser>
          <c:idx val="2"/>
          <c:order val="2"/>
          <c:tx>
            <c:strRef>
              <c:f>'Dwellings PDL'!$E$16</c:f>
              <c:strCache>
                <c:ptCount val="1"/>
                <c:pt idx="0">
                  <c:v>Greenfield</c:v>
                </c:pt>
              </c:strCache>
            </c:strRef>
          </c:tx>
          <c:invertIfNegative val="0"/>
          <c:cat>
            <c:strRef>
              <c:f>'Dwellings PDL'!$B$17:$B$20</c:f>
              <c:strCache>
                <c:ptCount val="4"/>
                <c:pt idx="0">
                  <c:v>2010/11</c:v>
                </c:pt>
                <c:pt idx="1">
                  <c:v>2011/12</c:v>
                </c:pt>
                <c:pt idx="2">
                  <c:v>2012/13</c:v>
                </c:pt>
                <c:pt idx="3">
                  <c:v>2013/14</c:v>
                </c:pt>
              </c:strCache>
            </c:strRef>
          </c:cat>
          <c:val>
            <c:numRef>
              <c:f>'Dwellings PDL'!$E$17:$E$20</c:f>
              <c:numCache>
                <c:formatCode>General</c:formatCode>
                <c:ptCount val="4"/>
                <c:pt idx="0">
                  <c:v>0</c:v>
                </c:pt>
                <c:pt idx="1">
                  <c:v>0</c:v>
                </c:pt>
                <c:pt idx="2">
                  <c:v>0.4</c:v>
                </c:pt>
                <c:pt idx="3">
                  <c:v>0</c:v>
                </c:pt>
              </c:numCache>
            </c:numRef>
          </c:val>
        </c:ser>
        <c:dLbls>
          <c:showLegendKey val="0"/>
          <c:showVal val="0"/>
          <c:showCatName val="0"/>
          <c:showSerName val="0"/>
          <c:showPercent val="0"/>
          <c:showBubbleSize val="0"/>
        </c:dLbls>
        <c:gapWidth val="150"/>
        <c:overlap val="100"/>
        <c:axId val="219257472"/>
        <c:axId val="219263744"/>
      </c:barChart>
      <c:catAx>
        <c:axId val="219257472"/>
        <c:scaling>
          <c:orientation val="minMax"/>
        </c:scaling>
        <c:delete val="0"/>
        <c:axPos val="b"/>
        <c:title>
          <c:tx>
            <c:rich>
              <a:bodyPr/>
              <a:lstStyle/>
              <a:p>
                <a:pPr>
                  <a:defRPr/>
                </a:pPr>
                <a:r>
                  <a:rPr lang="en-GB"/>
                  <a:t>Monitoring</a:t>
                </a:r>
                <a:r>
                  <a:rPr lang="en-GB" baseline="0"/>
                  <a:t> Year</a:t>
                </a:r>
                <a:endParaRPr lang="en-GB"/>
              </a:p>
            </c:rich>
          </c:tx>
          <c:overlay val="0"/>
        </c:title>
        <c:majorTickMark val="out"/>
        <c:minorTickMark val="none"/>
        <c:tickLblPos val="nextTo"/>
        <c:crossAx val="219263744"/>
        <c:crosses val="autoZero"/>
        <c:auto val="1"/>
        <c:lblAlgn val="ctr"/>
        <c:lblOffset val="100"/>
        <c:noMultiLvlLbl val="0"/>
      </c:catAx>
      <c:valAx>
        <c:axId val="219263744"/>
        <c:scaling>
          <c:orientation val="minMax"/>
        </c:scaling>
        <c:delete val="0"/>
        <c:axPos val="l"/>
        <c:majorGridlines/>
        <c:title>
          <c:tx>
            <c:rich>
              <a:bodyPr rot="-5400000" vert="horz"/>
              <a:lstStyle/>
              <a:p>
                <a:pPr>
                  <a:defRPr/>
                </a:pPr>
                <a:r>
                  <a:rPr lang="en-GB"/>
                  <a:t>Proportion</a:t>
                </a:r>
                <a:r>
                  <a:rPr lang="en-GB" baseline="0"/>
                  <a:t> of total new dwellings completed</a:t>
                </a:r>
                <a:endParaRPr lang="en-GB"/>
              </a:p>
            </c:rich>
          </c:tx>
          <c:overlay val="0"/>
        </c:title>
        <c:numFmt formatCode="0%" sourceLinked="1"/>
        <c:majorTickMark val="out"/>
        <c:minorTickMark val="none"/>
        <c:tickLblPos val="nextTo"/>
        <c:crossAx val="2192574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8893956852954357E-2"/>
          <c:y val="3.8054908946150372E-2"/>
          <c:w val="0.8341252160553102"/>
          <c:h val="0.8614042660911041"/>
        </c:manualLayout>
      </c:layout>
      <c:barChart>
        <c:barDir val="col"/>
        <c:grouping val="clustered"/>
        <c:varyColors val="0"/>
        <c:ser>
          <c:idx val="0"/>
          <c:order val="0"/>
          <c:tx>
            <c:strRef>
              <c:f>Sheet1!$C$2</c:f>
              <c:strCache>
                <c:ptCount val="1"/>
                <c:pt idx="0">
                  <c:v>Gain</c:v>
                </c:pt>
              </c:strCache>
            </c:strRef>
          </c:tx>
          <c:invertIfNegative val="0"/>
          <c:cat>
            <c:strRef>
              <c:f>Sheet1!$B$3:$B$7</c:f>
              <c:strCache>
                <c:ptCount val="5"/>
                <c:pt idx="0">
                  <c:v>1 bed</c:v>
                </c:pt>
                <c:pt idx="1">
                  <c:v>2 bed</c:v>
                </c:pt>
                <c:pt idx="2">
                  <c:v>3 bed</c:v>
                </c:pt>
                <c:pt idx="3">
                  <c:v>4 bed</c:v>
                </c:pt>
                <c:pt idx="4">
                  <c:v>5+ bed</c:v>
                </c:pt>
              </c:strCache>
            </c:strRef>
          </c:cat>
          <c:val>
            <c:numRef>
              <c:f>Sheet1!$C$3:$C$7</c:f>
              <c:numCache>
                <c:formatCode>General</c:formatCode>
                <c:ptCount val="5"/>
                <c:pt idx="0">
                  <c:v>46</c:v>
                </c:pt>
                <c:pt idx="1">
                  <c:v>21</c:v>
                </c:pt>
                <c:pt idx="2">
                  <c:v>19</c:v>
                </c:pt>
                <c:pt idx="3">
                  <c:v>15</c:v>
                </c:pt>
                <c:pt idx="4">
                  <c:v>5</c:v>
                </c:pt>
              </c:numCache>
            </c:numRef>
          </c:val>
        </c:ser>
        <c:ser>
          <c:idx val="1"/>
          <c:order val="1"/>
          <c:tx>
            <c:strRef>
              <c:f>Sheet1!$D$2</c:f>
              <c:strCache>
                <c:ptCount val="1"/>
                <c:pt idx="0">
                  <c:v>Loss</c:v>
                </c:pt>
              </c:strCache>
            </c:strRef>
          </c:tx>
          <c:invertIfNegative val="0"/>
          <c:cat>
            <c:strRef>
              <c:f>Sheet1!$B$3:$B$7</c:f>
              <c:strCache>
                <c:ptCount val="5"/>
                <c:pt idx="0">
                  <c:v>1 bed</c:v>
                </c:pt>
                <c:pt idx="1">
                  <c:v>2 bed</c:v>
                </c:pt>
                <c:pt idx="2">
                  <c:v>3 bed</c:v>
                </c:pt>
                <c:pt idx="3">
                  <c:v>4 bed</c:v>
                </c:pt>
                <c:pt idx="4">
                  <c:v>5+ bed</c:v>
                </c:pt>
              </c:strCache>
            </c:strRef>
          </c:cat>
          <c:val>
            <c:numRef>
              <c:f>Sheet1!$D$3:$D$7</c:f>
              <c:numCache>
                <c:formatCode>General</c:formatCode>
                <c:ptCount val="5"/>
                <c:pt idx="0">
                  <c:v>-4</c:v>
                </c:pt>
                <c:pt idx="1">
                  <c:v>-9</c:v>
                </c:pt>
                <c:pt idx="2">
                  <c:v>-11</c:v>
                </c:pt>
                <c:pt idx="3">
                  <c:v>-9</c:v>
                </c:pt>
                <c:pt idx="4">
                  <c:v>-3</c:v>
                </c:pt>
              </c:numCache>
            </c:numRef>
          </c:val>
        </c:ser>
        <c:ser>
          <c:idx val="2"/>
          <c:order val="2"/>
          <c:tx>
            <c:strRef>
              <c:f>Sheet1!$E$2</c:f>
              <c:strCache>
                <c:ptCount val="1"/>
                <c:pt idx="0">
                  <c:v>net</c:v>
                </c:pt>
              </c:strCache>
            </c:strRef>
          </c:tx>
          <c:invertIfNegative val="0"/>
          <c:cat>
            <c:strRef>
              <c:f>Sheet1!$B$3:$B$7</c:f>
              <c:strCache>
                <c:ptCount val="5"/>
                <c:pt idx="0">
                  <c:v>1 bed</c:v>
                </c:pt>
                <c:pt idx="1">
                  <c:v>2 bed</c:v>
                </c:pt>
                <c:pt idx="2">
                  <c:v>3 bed</c:v>
                </c:pt>
                <c:pt idx="3">
                  <c:v>4 bed</c:v>
                </c:pt>
                <c:pt idx="4">
                  <c:v>5+ bed</c:v>
                </c:pt>
              </c:strCache>
            </c:strRef>
          </c:cat>
          <c:val>
            <c:numRef>
              <c:f>Sheet1!$E$3:$E$7</c:f>
              <c:numCache>
                <c:formatCode>General</c:formatCode>
                <c:ptCount val="5"/>
                <c:pt idx="0">
                  <c:v>42</c:v>
                </c:pt>
                <c:pt idx="1">
                  <c:v>12</c:v>
                </c:pt>
                <c:pt idx="2">
                  <c:v>8</c:v>
                </c:pt>
                <c:pt idx="3">
                  <c:v>6</c:v>
                </c:pt>
                <c:pt idx="4">
                  <c:v>2</c:v>
                </c:pt>
              </c:numCache>
            </c:numRef>
          </c:val>
        </c:ser>
        <c:dLbls>
          <c:dLblPos val="inEnd"/>
          <c:showLegendKey val="0"/>
          <c:showVal val="1"/>
          <c:showCatName val="0"/>
          <c:showSerName val="0"/>
          <c:showPercent val="0"/>
          <c:showBubbleSize val="0"/>
        </c:dLbls>
        <c:gapWidth val="150"/>
        <c:axId val="219444736"/>
        <c:axId val="219446272"/>
      </c:barChart>
      <c:catAx>
        <c:axId val="219444736"/>
        <c:scaling>
          <c:orientation val="minMax"/>
        </c:scaling>
        <c:delete val="1"/>
        <c:axPos val="b"/>
        <c:majorTickMark val="out"/>
        <c:minorTickMark val="none"/>
        <c:tickLblPos val="nextTo"/>
        <c:crossAx val="219446272"/>
        <c:crosses val="autoZero"/>
        <c:auto val="0"/>
        <c:lblAlgn val="ctr"/>
        <c:lblOffset val="100"/>
        <c:noMultiLvlLbl val="0"/>
      </c:catAx>
      <c:valAx>
        <c:axId val="219446272"/>
        <c:scaling>
          <c:orientation val="minMax"/>
        </c:scaling>
        <c:delete val="0"/>
        <c:axPos val="l"/>
        <c:majorGridlines/>
        <c:numFmt formatCode="General" sourceLinked="1"/>
        <c:majorTickMark val="out"/>
        <c:minorTickMark val="none"/>
        <c:tickLblPos val="nextTo"/>
        <c:crossAx val="219444736"/>
        <c:crosses val="autoZero"/>
        <c:crossBetween val="between"/>
      </c:valAx>
    </c:plotArea>
    <c:legend>
      <c:legendPos val="r"/>
      <c:layout>
        <c:manualLayout>
          <c:xMode val="edge"/>
          <c:yMode val="edge"/>
          <c:x val="0.9118760619011308"/>
          <c:y val="0.32525714576469539"/>
          <c:w val="7.901231969727425E-2"/>
          <c:h val="0.2331690687290906"/>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4639175257731959"/>
          <c:y val="5.9880327061200445E-2"/>
          <c:w val="0.76494845360824737"/>
          <c:h val="0.80838441532620597"/>
        </c:manualLayout>
      </c:layout>
      <c:barChart>
        <c:barDir val="col"/>
        <c:grouping val="percentStacked"/>
        <c:varyColors val="0"/>
        <c:ser>
          <c:idx val="3"/>
          <c:order val="0"/>
          <c:tx>
            <c:strRef>
              <c:f>'Trend over time'!$B$3</c:f>
              <c:strCache>
                <c:ptCount val="1"/>
                <c:pt idx="0">
                  <c:v>1 bed</c:v>
                </c:pt>
              </c:strCache>
            </c:strRef>
          </c:tx>
          <c:invertIfNegative val="0"/>
          <c:cat>
            <c:strRef>
              <c:f>'Trend over time'!$C$2:$J$2</c:f>
              <c:strCache>
                <c:ptCount val="8"/>
                <c:pt idx="0">
                  <c:v>2006/07</c:v>
                </c:pt>
                <c:pt idx="1">
                  <c:v>2007/08</c:v>
                </c:pt>
                <c:pt idx="2">
                  <c:v>2008/09</c:v>
                </c:pt>
                <c:pt idx="3">
                  <c:v>2009/10</c:v>
                </c:pt>
                <c:pt idx="4">
                  <c:v>2010-11</c:v>
                </c:pt>
                <c:pt idx="5">
                  <c:v>2011/12</c:v>
                </c:pt>
                <c:pt idx="6">
                  <c:v>2012/13</c:v>
                </c:pt>
                <c:pt idx="7">
                  <c:v>2013/14</c:v>
                </c:pt>
              </c:strCache>
            </c:strRef>
          </c:cat>
          <c:val>
            <c:numRef>
              <c:f>'Trend over time'!$C$3:$J$3</c:f>
              <c:numCache>
                <c:formatCode>0.00%</c:formatCode>
                <c:ptCount val="8"/>
                <c:pt idx="0">
                  <c:v>0.28100000000000003</c:v>
                </c:pt>
                <c:pt idx="1">
                  <c:v>0.315</c:v>
                </c:pt>
                <c:pt idx="2">
                  <c:v>0.27100000000000002</c:v>
                </c:pt>
                <c:pt idx="3">
                  <c:v>0.249</c:v>
                </c:pt>
                <c:pt idx="4" formatCode="General">
                  <c:v>39.299999999999997</c:v>
                </c:pt>
                <c:pt idx="5" formatCode="General">
                  <c:v>53.4</c:v>
                </c:pt>
                <c:pt idx="6" formatCode="0.0">
                  <c:v>55.045871559633028</c:v>
                </c:pt>
                <c:pt idx="7" formatCode="General">
                  <c:v>61.8</c:v>
                </c:pt>
              </c:numCache>
            </c:numRef>
          </c:val>
        </c:ser>
        <c:ser>
          <c:idx val="2"/>
          <c:order val="1"/>
          <c:tx>
            <c:strRef>
              <c:f>'Trend over time'!$B$4</c:f>
              <c:strCache>
                <c:ptCount val="1"/>
                <c:pt idx="0">
                  <c:v>2 bed</c:v>
                </c:pt>
              </c:strCache>
            </c:strRef>
          </c:tx>
          <c:invertIfNegative val="0"/>
          <c:cat>
            <c:strRef>
              <c:f>'Trend over time'!$C$2:$J$2</c:f>
              <c:strCache>
                <c:ptCount val="8"/>
                <c:pt idx="0">
                  <c:v>2006/07</c:v>
                </c:pt>
                <c:pt idx="1">
                  <c:v>2007/08</c:v>
                </c:pt>
                <c:pt idx="2">
                  <c:v>2008/09</c:v>
                </c:pt>
                <c:pt idx="3">
                  <c:v>2009/10</c:v>
                </c:pt>
                <c:pt idx="4">
                  <c:v>2010-11</c:v>
                </c:pt>
                <c:pt idx="5">
                  <c:v>2011/12</c:v>
                </c:pt>
                <c:pt idx="6">
                  <c:v>2012/13</c:v>
                </c:pt>
                <c:pt idx="7">
                  <c:v>2013/14</c:v>
                </c:pt>
              </c:strCache>
            </c:strRef>
          </c:cat>
          <c:val>
            <c:numRef>
              <c:f>'Trend over time'!$C$4:$J$4</c:f>
              <c:numCache>
                <c:formatCode>0.00%</c:formatCode>
                <c:ptCount val="8"/>
                <c:pt idx="0">
                  <c:v>0.47799999999999998</c:v>
                </c:pt>
                <c:pt idx="1">
                  <c:v>0.42699999999999999</c:v>
                </c:pt>
                <c:pt idx="2">
                  <c:v>0.50800000000000001</c:v>
                </c:pt>
                <c:pt idx="3">
                  <c:v>0.44</c:v>
                </c:pt>
                <c:pt idx="4" formatCode="General">
                  <c:v>26.2</c:v>
                </c:pt>
                <c:pt idx="5" formatCode="General">
                  <c:v>26.9</c:v>
                </c:pt>
                <c:pt idx="6" formatCode="0.0">
                  <c:v>37.61467889908257</c:v>
                </c:pt>
                <c:pt idx="7" formatCode="General">
                  <c:v>17.600000000000001</c:v>
                </c:pt>
              </c:numCache>
            </c:numRef>
          </c:val>
        </c:ser>
        <c:ser>
          <c:idx val="1"/>
          <c:order val="2"/>
          <c:tx>
            <c:strRef>
              <c:f>'Trend over time'!$B$5</c:f>
              <c:strCache>
                <c:ptCount val="1"/>
                <c:pt idx="0">
                  <c:v>3 bed</c:v>
                </c:pt>
              </c:strCache>
            </c:strRef>
          </c:tx>
          <c:invertIfNegative val="0"/>
          <c:cat>
            <c:strRef>
              <c:f>'Trend over time'!$C$2:$J$2</c:f>
              <c:strCache>
                <c:ptCount val="8"/>
                <c:pt idx="0">
                  <c:v>2006/07</c:v>
                </c:pt>
                <c:pt idx="1">
                  <c:v>2007/08</c:v>
                </c:pt>
                <c:pt idx="2">
                  <c:v>2008/09</c:v>
                </c:pt>
                <c:pt idx="3">
                  <c:v>2009/10</c:v>
                </c:pt>
                <c:pt idx="4">
                  <c:v>2010-11</c:v>
                </c:pt>
                <c:pt idx="5">
                  <c:v>2011/12</c:v>
                </c:pt>
                <c:pt idx="6">
                  <c:v>2012/13</c:v>
                </c:pt>
                <c:pt idx="7">
                  <c:v>2013/14</c:v>
                </c:pt>
              </c:strCache>
            </c:strRef>
          </c:cat>
          <c:val>
            <c:numRef>
              <c:f>'Trend over time'!$C$5:$J$5</c:f>
              <c:numCache>
                <c:formatCode>0.00%</c:formatCode>
                <c:ptCount val="8"/>
                <c:pt idx="0">
                  <c:v>0.16300000000000001</c:v>
                </c:pt>
                <c:pt idx="1">
                  <c:v>0.14399999999999999</c:v>
                </c:pt>
                <c:pt idx="2">
                  <c:v>9.8000000000000004E-2</c:v>
                </c:pt>
                <c:pt idx="3">
                  <c:v>0.19800000000000001</c:v>
                </c:pt>
                <c:pt idx="4" formatCode="General">
                  <c:v>29.1</c:v>
                </c:pt>
                <c:pt idx="5" formatCode="General">
                  <c:v>19.2</c:v>
                </c:pt>
                <c:pt idx="6" formatCode="0.0">
                  <c:v>6.4220183486238538</c:v>
                </c:pt>
                <c:pt idx="7" formatCode="General">
                  <c:v>11.8</c:v>
                </c:pt>
              </c:numCache>
            </c:numRef>
          </c:val>
        </c:ser>
        <c:ser>
          <c:idx val="0"/>
          <c:order val="3"/>
          <c:tx>
            <c:strRef>
              <c:f>'Trend over time'!$B$6</c:f>
              <c:strCache>
                <c:ptCount val="1"/>
                <c:pt idx="0">
                  <c:v>4+ bed</c:v>
                </c:pt>
              </c:strCache>
            </c:strRef>
          </c:tx>
          <c:invertIfNegative val="0"/>
          <c:cat>
            <c:strRef>
              <c:f>'Trend over time'!$C$2:$J$2</c:f>
              <c:strCache>
                <c:ptCount val="8"/>
                <c:pt idx="0">
                  <c:v>2006/07</c:v>
                </c:pt>
                <c:pt idx="1">
                  <c:v>2007/08</c:v>
                </c:pt>
                <c:pt idx="2">
                  <c:v>2008/09</c:v>
                </c:pt>
                <c:pt idx="3">
                  <c:v>2009/10</c:v>
                </c:pt>
                <c:pt idx="4">
                  <c:v>2010-11</c:v>
                </c:pt>
                <c:pt idx="5">
                  <c:v>2011/12</c:v>
                </c:pt>
                <c:pt idx="6">
                  <c:v>2012/13</c:v>
                </c:pt>
                <c:pt idx="7">
                  <c:v>2013/14</c:v>
                </c:pt>
              </c:strCache>
            </c:strRef>
          </c:cat>
          <c:val>
            <c:numRef>
              <c:f>'Trend over time'!$C$6:$J$6</c:f>
              <c:numCache>
                <c:formatCode>0.00%</c:formatCode>
                <c:ptCount val="8"/>
                <c:pt idx="0">
                  <c:v>7.8E-2</c:v>
                </c:pt>
                <c:pt idx="1">
                  <c:v>0.113</c:v>
                </c:pt>
                <c:pt idx="2">
                  <c:v>0.123</c:v>
                </c:pt>
                <c:pt idx="3">
                  <c:v>0.113</c:v>
                </c:pt>
                <c:pt idx="4" formatCode="General">
                  <c:v>8.1999999999999993</c:v>
                </c:pt>
                <c:pt idx="5" formatCode="General">
                  <c:v>3.1</c:v>
                </c:pt>
                <c:pt idx="6" formatCode="0.0">
                  <c:v>1.834862385321101</c:v>
                </c:pt>
                <c:pt idx="7" formatCode="General">
                  <c:v>11.7</c:v>
                </c:pt>
              </c:numCache>
            </c:numRef>
          </c:val>
        </c:ser>
        <c:dLbls>
          <c:showLegendKey val="0"/>
          <c:showVal val="0"/>
          <c:showCatName val="0"/>
          <c:showSerName val="0"/>
          <c:showPercent val="0"/>
          <c:showBubbleSize val="0"/>
        </c:dLbls>
        <c:gapWidth val="150"/>
        <c:overlap val="100"/>
        <c:axId val="219506944"/>
        <c:axId val="219509120"/>
      </c:barChart>
      <c:catAx>
        <c:axId val="219506944"/>
        <c:scaling>
          <c:orientation val="minMax"/>
        </c:scaling>
        <c:delete val="0"/>
        <c:axPos val="b"/>
        <c:title>
          <c:tx>
            <c:rich>
              <a:bodyPr/>
              <a:lstStyle/>
              <a:p>
                <a:pPr>
                  <a:defRPr/>
                </a:pPr>
                <a:r>
                  <a:rPr lang="en-GB" b="1"/>
                  <a:t>Monitoring Year</a:t>
                </a:r>
              </a:p>
            </c:rich>
          </c:tx>
          <c:layout>
            <c:manualLayout>
              <c:xMode val="edge"/>
              <c:yMode val="edge"/>
              <c:x val="0.44802783373008609"/>
              <c:y val="0.93578952968716744"/>
            </c:manualLayout>
          </c:layout>
          <c:overlay val="0"/>
        </c:title>
        <c:numFmt formatCode="General" sourceLinked="1"/>
        <c:majorTickMark val="out"/>
        <c:minorTickMark val="none"/>
        <c:tickLblPos val="nextTo"/>
        <c:txPr>
          <a:bodyPr rot="0" vert="horz"/>
          <a:lstStyle/>
          <a:p>
            <a:pPr>
              <a:defRPr/>
            </a:pPr>
            <a:endParaRPr lang="en-US"/>
          </a:p>
        </c:txPr>
        <c:crossAx val="219509120"/>
        <c:crosses val="autoZero"/>
        <c:auto val="1"/>
        <c:lblAlgn val="ctr"/>
        <c:lblOffset val="100"/>
        <c:tickLblSkip val="1"/>
        <c:tickMarkSkip val="1"/>
        <c:noMultiLvlLbl val="0"/>
      </c:catAx>
      <c:valAx>
        <c:axId val="219509120"/>
        <c:scaling>
          <c:orientation val="minMax"/>
        </c:scaling>
        <c:delete val="0"/>
        <c:axPos val="l"/>
        <c:title>
          <c:tx>
            <c:rich>
              <a:bodyPr/>
              <a:lstStyle/>
              <a:p>
                <a:pPr>
                  <a:defRPr/>
                </a:pPr>
                <a:r>
                  <a:rPr lang="en-GB"/>
                  <a:t>Percentage of all dwelling completions (net)</a:t>
                </a:r>
              </a:p>
            </c:rich>
          </c:tx>
          <c:layout>
            <c:manualLayout>
              <c:xMode val="edge"/>
              <c:yMode val="edge"/>
              <c:x val="1.0309278350515464E-2"/>
              <c:y val="9.8802539650980736E-2"/>
            </c:manualLayout>
          </c:layout>
          <c:overlay val="0"/>
        </c:title>
        <c:numFmt formatCode="0%" sourceLinked="1"/>
        <c:majorTickMark val="out"/>
        <c:minorTickMark val="none"/>
        <c:tickLblPos val="nextTo"/>
        <c:txPr>
          <a:bodyPr rot="0" vert="horz"/>
          <a:lstStyle/>
          <a:p>
            <a:pPr>
              <a:defRPr/>
            </a:pPr>
            <a:endParaRPr lang="en-US"/>
          </a:p>
        </c:txPr>
        <c:crossAx val="219506944"/>
        <c:crosses val="autoZero"/>
        <c:crossBetween val="between"/>
      </c:valAx>
    </c:plotArea>
    <c:legend>
      <c:legendPos val="r"/>
      <c:layout>
        <c:manualLayout>
          <c:xMode val="edge"/>
          <c:yMode val="edge"/>
          <c:x val="0.88659793814432986"/>
          <c:y val="0.25338626374892698"/>
          <c:w val="0.10515463917525773"/>
          <c:h val="0.50318949532886137"/>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cat>
            <c:strRef>
              <c:f>'Affordable Completions'!$B$4:$B$11</c:f>
              <c:strCache>
                <c:ptCount val="8"/>
                <c:pt idx="0">
                  <c:v>2006/07</c:v>
                </c:pt>
                <c:pt idx="1">
                  <c:v>2007/08</c:v>
                </c:pt>
                <c:pt idx="2">
                  <c:v>2008/09</c:v>
                </c:pt>
                <c:pt idx="3">
                  <c:v>2009/10</c:v>
                </c:pt>
                <c:pt idx="4">
                  <c:v>2010/11</c:v>
                </c:pt>
                <c:pt idx="5">
                  <c:v>2011/12</c:v>
                </c:pt>
                <c:pt idx="6">
                  <c:v>2012/13</c:v>
                </c:pt>
                <c:pt idx="7">
                  <c:v>2013/14</c:v>
                </c:pt>
              </c:strCache>
            </c:strRef>
          </c:cat>
          <c:val>
            <c:numRef>
              <c:f>'Affordable Completions'!$C$4:$C$11</c:f>
              <c:numCache>
                <c:formatCode>General</c:formatCode>
                <c:ptCount val="8"/>
                <c:pt idx="0">
                  <c:v>267</c:v>
                </c:pt>
                <c:pt idx="1">
                  <c:v>73</c:v>
                </c:pt>
                <c:pt idx="2">
                  <c:v>231</c:v>
                </c:pt>
                <c:pt idx="3">
                  <c:v>192</c:v>
                </c:pt>
                <c:pt idx="4">
                  <c:v>105</c:v>
                </c:pt>
                <c:pt idx="5">
                  <c:v>18</c:v>
                </c:pt>
                <c:pt idx="6">
                  <c:v>90</c:v>
                </c:pt>
                <c:pt idx="7">
                  <c:v>0</c:v>
                </c:pt>
              </c:numCache>
            </c:numRef>
          </c:val>
        </c:ser>
        <c:dLbls>
          <c:showLegendKey val="0"/>
          <c:showVal val="0"/>
          <c:showCatName val="0"/>
          <c:showSerName val="0"/>
          <c:showPercent val="0"/>
          <c:showBubbleSize val="0"/>
        </c:dLbls>
        <c:gapWidth val="150"/>
        <c:axId val="220145920"/>
        <c:axId val="220147712"/>
      </c:barChart>
      <c:catAx>
        <c:axId val="220145920"/>
        <c:scaling>
          <c:orientation val="minMax"/>
        </c:scaling>
        <c:delete val="0"/>
        <c:axPos val="b"/>
        <c:majorTickMark val="out"/>
        <c:minorTickMark val="none"/>
        <c:tickLblPos val="nextTo"/>
        <c:crossAx val="220147712"/>
        <c:crosses val="autoZero"/>
        <c:auto val="1"/>
        <c:lblAlgn val="ctr"/>
        <c:lblOffset val="100"/>
        <c:noMultiLvlLbl val="0"/>
      </c:catAx>
      <c:valAx>
        <c:axId val="220147712"/>
        <c:scaling>
          <c:orientation val="minMax"/>
        </c:scaling>
        <c:delete val="0"/>
        <c:axPos val="l"/>
        <c:majorGridlines/>
        <c:numFmt formatCode="General" sourceLinked="1"/>
        <c:majorTickMark val="out"/>
        <c:minorTickMark val="none"/>
        <c:tickLblPos val="nextTo"/>
        <c:crossAx val="22014592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'Figure 16'!$C$4</c:f>
              <c:strCache>
                <c:ptCount val="1"/>
                <c:pt idx="0">
                  <c:v>Number of students outside univeristy provided accomodation</c:v>
                </c:pt>
              </c:strCache>
            </c:strRef>
          </c:tx>
          <c:invertIfNegative val="0"/>
          <c:dLbls>
            <c:dLbl>
              <c:idx val="0"/>
              <c:layout>
                <c:manualLayout>
                  <c:x val="2.2148394241417496E-3"/>
                  <c:y val="1.4189428101902692E-2"/>
                </c:manualLayout>
              </c:layout>
              <c:dLblPos val="outEnd"/>
              <c:showLegendKey val="0"/>
              <c:showVal val="1"/>
              <c:showCatName val="0"/>
              <c:showSerName val="0"/>
              <c:showPercent val="0"/>
              <c:showBubbleSize val="0"/>
            </c:dLbl>
            <c:dLbl>
              <c:idx val="1"/>
              <c:layout>
                <c:manualLayout>
                  <c:x val="0"/>
                  <c:y val="0"/>
                </c:manualLayout>
              </c:layout>
              <c:dLblPos val="outEnd"/>
              <c:showLegendKey val="0"/>
              <c:showVal val="1"/>
              <c:showCatName val="0"/>
              <c:showSerName val="0"/>
              <c:showPercent val="0"/>
              <c:showBubbleSize val="0"/>
            </c:dLbl>
            <c:dLbl>
              <c:idx val="2"/>
              <c:layout>
                <c:manualLayout>
                  <c:x val="8.120984074218733E-17"/>
                  <c:y val="1.1869436201780416E-2"/>
                </c:manualLayout>
              </c:layout>
              <c:dLblPos val="outEnd"/>
              <c:showLegendKey val="0"/>
              <c:showVal val="1"/>
              <c:showCatName val="0"/>
              <c:showSerName val="0"/>
              <c:showPercent val="0"/>
              <c:showBubbleSize val="0"/>
            </c:dLbl>
            <c:dLbl>
              <c:idx val="3"/>
              <c:layout>
                <c:manualLayout>
                  <c:x val="0"/>
                  <c:y val="1.186943620178041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'Figure 16'!$B$5:$B$8</c:f>
              <c:strCache>
                <c:ptCount val="4"/>
                <c:pt idx="0">
                  <c:v>2010/11</c:v>
                </c:pt>
                <c:pt idx="1">
                  <c:v>2011/12</c:v>
                </c:pt>
                <c:pt idx="2">
                  <c:v>2012/13</c:v>
                </c:pt>
                <c:pt idx="3">
                  <c:v>2013/14</c:v>
                </c:pt>
              </c:strCache>
            </c:strRef>
          </c:cat>
          <c:val>
            <c:numRef>
              <c:f>'Figure 16'!$C$5:$C$8</c:f>
              <c:numCache>
                <c:formatCode>General</c:formatCode>
                <c:ptCount val="4"/>
                <c:pt idx="0">
                  <c:v>3251</c:v>
                </c:pt>
                <c:pt idx="1">
                  <c:v>3401</c:v>
                </c:pt>
                <c:pt idx="2">
                  <c:v>3508</c:v>
                </c:pt>
                <c:pt idx="3">
                  <c:v>3020</c:v>
                </c:pt>
              </c:numCache>
            </c:numRef>
          </c:val>
        </c:ser>
        <c:dLbls>
          <c:dLblPos val="outEnd"/>
          <c:showLegendKey val="0"/>
          <c:showVal val="1"/>
          <c:showCatName val="0"/>
          <c:showSerName val="0"/>
          <c:showPercent val="0"/>
          <c:showBubbleSize val="0"/>
        </c:dLbls>
        <c:gapWidth val="150"/>
        <c:axId val="219784704"/>
        <c:axId val="219788032"/>
      </c:barChart>
      <c:catAx>
        <c:axId val="219784704"/>
        <c:scaling>
          <c:orientation val="minMax"/>
        </c:scaling>
        <c:delete val="0"/>
        <c:axPos val="b"/>
        <c:title>
          <c:tx>
            <c:rich>
              <a:bodyPr/>
              <a:lstStyle/>
              <a:p>
                <a:pPr>
                  <a:defRPr/>
                </a:pPr>
                <a:r>
                  <a:rPr lang="en-GB"/>
                  <a:t>Monitoring Year</a:t>
                </a:r>
              </a:p>
            </c:rich>
          </c:tx>
          <c:overlay val="0"/>
        </c:title>
        <c:majorTickMark val="out"/>
        <c:minorTickMark val="none"/>
        <c:tickLblPos val="nextTo"/>
        <c:crossAx val="219788032"/>
        <c:crosses val="autoZero"/>
        <c:auto val="1"/>
        <c:lblAlgn val="ctr"/>
        <c:lblOffset val="100"/>
        <c:noMultiLvlLbl val="0"/>
      </c:catAx>
      <c:valAx>
        <c:axId val="219788032"/>
        <c:scaling>
          <c:orientation val="minMax"/>
          <c:min val="0"/>
        </c:scaling>
        <c:delete val="0"/>
        <c:axPos val="l"/>
        <c:majorGridlines/>
        <c:title>
          <c:tx>
            <c:rich>
              <a:bodyPr rot="-5400000" vert="horz"/>
              <a:lstStyle/>
              <a:p>
                <a:pPr>
                  <a:defRPr/>
                </a:pPr>
                <a:r>
                  <a:rPr lang="en-GB"/>
                  <a:t>Number of students outside university provided accommodation</a:t>
                </a:r>
              </a:p>
            </c:rich>
          </c:tx>
          <c:overlay val="0"/>
        </c:title>
        <c:numFmt formatCode="General" sourceLinked="1"/>
        <c:majorTickMark val="out"/>
        <c:minorTickMark val="none"/>
        <c:tickLblPos val="nextTo"/>
        <c:crossAx val="219784704"/>
        <c:crosses val="autoZero"/>
        <c:crossBetween val="between"/>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'Oxford Brookes'!$C$3</c:f>
              <c:strCache>
                <c:ptCount val="1"/>
                <c:pt idx="0">
                  <c:v>Number of students outside univeristy provided accomodation</c:v>
                </c:pt>
              </c:strCache>
            </c:strRef>
          </c:tx>
          <c:invertIfNegative val="0"/>
          <c:dLbls>
            <c:dLblPos val="outEnd"/>
            <c:showLegendKey val="0"/>
            <c:showVal val="1"/>
            <c:showCatName val="0"/>
            <c:showSerName val="0"/>
            <c:showPercent val="0"/>
            <c:showBubbleSize val="0"/>
            <c:showLeaderLines val="0"/>
          </c:dLbls>
          <c:cat>
            <c:strRef>
              <c:f>'Oxford Brookes'!$B$4:$B$7</c:f>
              <c:strCache>
                <c:ptCount val="4"/>
                <c:pt idx="0">
                  <c:v>2010/11</c:v>
                </c:pt>
                <c:pt idx="1">
                  <c:v>2011/12</c:v>
                </c:pt>
                <c:pt idx="2">
                  <c:v>2012/13</c:v>
                </c:pt>
                <c:pt idx="3">
                  <c:v>2013/14</c:v>
                </c:pt>
              </c:strCache>
            </c:strRef>
          </c:cat>
          <c:val>
            <c:numRef>
              <c:f>'Oxford Brookes'!$C$4:$C$7</c:f>
              <c:numCache>
                <c:formatCode>General</c:formatCode>
                <c:ptCount val="4"/>
                <c:pt idx="0">
                  <c:v>3611</c:v>
                </c:pt>
                <c:pt idx="1">
                  <c:v>3381</c:v>
                </c:pt>
                <c:pt idx="2">
                  <c:v>2836</c:v>
                </c:pt>
                <c:pt idx="3">
                  <c:v>3072</c:v>
                </c:pt>
              </c:numCache>
            </c:numRef>
          </c:val>
        </c:ser>
        <c:dLbls>
          <c:showLegendKey val="0"/>
          <c:showVal val="0"/>
          <c:showCatName val="0"/>
          <c:showSerName val="0"/>
          <c:showPercent val="0"/>
          <c:showBubbleSize val="0"/>
        </c:dLbls>
        <c:gapWidth val="150"/>
        <c:axId val="219826816"/>
        <c:axId val="219845376"/>
      </c:barChart>
      <c:catAx>
        <c:axId val="219826816"/>
        <c:scaling>
          <c:orientation val="minMax"/>
        </c:scaling>
        <c:delete val="0"/>
        <c:axPos val="b"/>
        <c:title>
          <c:tx>
            <c:rich>
              <a:bodyPr/>
              <a:lstStyle/>
              <a:p>
                <a:pPr>
                  <a:defRPr/>
                </a:pPr>
                <a:r>
                  <a:rPr lang="en-GB"/>
                  <a:t>Monitoring Year</a:t>
                </a:r>
              </a:p>
            </c:rich>
          </c:tx>
          <c:overlay val="0"/>
        </c:title>
        <c:majorTickMark val="out"/>
        <c:minorTickMark val="none"/>
        <c:tickLblPos val="nextTo"/>
        <c:crossAx val="219845376"/>
        <c:crosses val="autoZero"/>
        <c:auto val="1"/>
        <c:lblAlgn val="ctr"/>
        <c:lblOffset val="100"/>
        <c:noMultiLvlLbl val="0"/>
      </c:catAx>
      <c:valAx>
        <c:axId val="219845376"/>
        <c:scaling>
          <c:orientation val="minMax"/>
        </c:scaling>
        <c:delete val="0"/>
        <c:axPos val="l"/>
        <c:majorGridlines/>
        <c:title>
          <c:tx>
            <c:rich>
              <a:bodyPr rot="-5400000" vert="horz"/>
              <a:lstStyle/>
              <a:p>
                <a:pPr>
                  <a:defRPr/>
                </a:pPr>
                <a:r>
                  <a:rPr lang="en-GB"/>
                  <a:t>Number</a:t>
                </a:r>
                <a:r>
                  <a:rPr lang="en-GB" baseline="0"/>
                  <a:t> of students outside university </a:t>
                </a:r>
              </a:p>
              <a:p>
                <a:pPr>
                  <a:defRPr/>
                </a:pPr>
                <a:r>
                  <a:rPr lang="en-GB" baseline="0"/>
                  <a:t>provided accommodation</a:t>
                </a:r>
                <a:endParaRPr lang="en-GB"/>
              </a:p>
            </c:rich>
          </c:tx>
          <c:layout>
            <c:manualLayout>
              <c:xMode val="edge"/>
              <c:yMode val="edge"/>
              <c:x val="1.17400403783436E-2"/>
              <c:y val="0.13792514149130866"/>
            </c:manualLayout>
          </c:layout>
          <c:overlay val="0"/>
        </c:title>
        <c:numFmt formatCode="General" sourceLinked="1"/>
        <c:majorTickMark val="out"/>
        <c:minorTickMark val="none"/>
        <c:tickLblPos val="nextTo"/>
        <c:crossAx val="21982681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Sheet1!$B$5:$B$8</c:f>
              <c:strCache>
                <c:ptCount val="4"/>
                <c:pt idx="0">
                  <c:v>Core Strategy Baseline</c:v>
                </c:pt>
                <c:pt idx="1">
                  <c:v>2011/2</c:v>
                </c:pt>
                <c:pt idx="2">
                  <c:v>2012/13</c:v>
                </c:pt>
                <c:pt idx="3">
                  <c:v>2013/14</c:v>
                </c:pt>
              </c:strCache>
            </c:strRef>
          </c:cat>
          <c:val>
            <c:numRef>
              <c:f>Sheet1!$C$5:$C$8</c:f>
              <c:numCache>
                <c:formatCode>General</c:formatCode>
                <c:ptCount val="4"/>
                <c:pt idx="0">
                  <c:v>3</c:v>
                </c:pt>
                <c:pt idx="1">
                  <c:v>2</c:v>
                </c:pt>
                <c:pt idx="2">
                  <c:v>1</c:v>
                </c:pt>
                <c:pt idx="3">
                  <c:v>2</c:v>
                </c:pt>
              </c:numCache>
            </c:numRef>
          </c:val>
        </c:ser>
        <c:dLbls>
          <c:showLegendKey val="0"/>
          <c:showVal val="0"/>
          <c:showCatName val="0"/>
          <c:showSerName val="0"/>
          <c:showPercent val="0"/>
          <c:showBubbleSize val="0"/>
        </c:dLbls>
        <c:gapWidth val="150"/>
        <c:axId val="220647808"/>
        <c:axId val="220649728"/>
      </c:barChart>
      <c:catAx>
        <c:axId val="220647808"/>
        <c:scaling>
          <c:orientation val="minMax"/>
        </c:scaling>
        <c:delete val="0"/>
        <c:axPos val="b"/>
        <c:title>
          <c:tx>
            <c:rich>
              <a:bodyPr/>
              <a:lstStyle/>
              <a:p>
                <a:pPr>
                  <a:defRPr/>
                </a:pPr>
                <a:r>
                  <a:rPr lang="en-GB"/>
                  <a:t>Monitoring Year</a:t>
                </a:r>
              </a:p>
            </c:rich>
          </c:tx>
          <c:overlay val="0"/>
        </c:title>
        <c:majorTickMark val="out"/>
        <c:minorTickMark val="none"/>
        <c:tickLblPos val="nextTo"/>
        <c:crossAx val="220649728"/>
        <c:crosses val="autoZero"/>
        <c:auto val="1"/>
        <c:lblAlgn val="ctr"/>
        <c:lblOffset val="100"/>
        <c:noMultiLvlLbl val="0"/>
      </c:catAx>
      <c:valAx>
        <c:axId val="220649728"/>
        <c:scaling>
          <c:orientation val="minMax"/>
        </c:scaling>
        <c:delete val="0"/>
        <c:axPos val="l"/>
        <c:majorGridlines/>
        <c:title>
          <c:tx>
            <c:rich>
              <a:bodyPr rot="-5400000" vert="horz"/>
              <a:lstStyle/>
              <a:p>
                <a:pPr>
                  <a:defRPr/>
                </a:pPr>
                <a:r>
                  <a:rPr lang="en-GB"/>
                  <a:t>Number</a:t>
                </a:r>
                <a:r>
                  <a:rPr lang="en-GB" baseline="0"/>
                  <a:t> of Heritage Assers at Risk</a:t>
                </a:r>
                <a:endParaRPr lang="en-GB"/>
              </a:p>
            </c:rich>
          </c:tx>
          <c:overlay val="0"/>
        </c:title>
        <c:numFmt formatCode="General" sourceLinked="1"/>
        <c:majorTickMark val="out"/>
        <c:minorTickMark val="none"/>
        <c:tickLblPos val="nextTo"/>
        <c:crossAx val="22064780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cked"/>
        <c:varyColors val="0"/>
        <c:ser>
          <c:idx val="0"/>
          <c:order val="0"/>
          <c:tx>
            <c:strRef>
              <c:f>Sheet1!$B$2</c:f>
              <c:strCache>
                <c:ptCount val="1"/>
                <c:pt idx="0">
                  <c:v>Inner Cordon</c:v>
                </c:pt>
              </c:strCache>
            </c:strRef>
          </c:tx>
          <c:dLbls>
            <c:dLbl>
              <c:idx val="1"/>
              <c:layout>
                <c:manualLayout>
                  <c:x val="-4.7134264898567244E-2"/>
                  <c:y val="-6.2918684460217117E-2"/>
                </c:manualLayout>
              </c:layout>
              <c:dLblPos val="r"/>
              <c:showLegendKey val="0"/>
              <c:showVal val="1"/>
              <c:showCatName val="0"/>
              <c:showSerName val="0"/>
              <c:showPercent val="0"/>
              <c:showBubbleSize val="0"/>
            </c:dLbl>
            <c:dLbl>
              <c:idx val="2"/>
              <c:layout>
                <c:manualLayout>
                  <c:x val="-4.7134264898567244E-2"/>
                  <c:y val="-5.6658903552548892E-2"/>
                </c:manualLayout>
              </c:layout>
              <c:dLblPos val="r"/>
              <c:showLegendKey val="0"/>
              <c:showVal val="1"/>
              <c:showCatName val="0"/>
              <c:showSerName val="0"/>
              <c:showPercent val="0"/>
              <c:showBubbleSize val="0"/>
            </c:dLbl>
            <c:dLbl>
              <c:idx val="3"/>
              <c:layout>
                <c:manualLayout>
                  <c:x val="-4.2733824092205518E-2"/>
                  <c:y val="-5.6658903552548892E-2"/>
                </c:manualLayout>
              </c:layout>
              <c:dLblPos val="r"/>
              <c:showLegendKey val="0"/>
              <c:showVal val="1"/>
              <c:showCatName val="0"/>
              <c:showSerName val="0"/>
              <c:showPercent val="0"/>
              <c:showBubbleSize val="0"/>
            </c:dLbl>
            <c:dLbl>
              <c:idx val="4"/>
              <c:layout>
                <c:manualLayout>
                  <c:x val="-4.7134196935060539E-2"/>
                  <c:y val="-2.712697203172184E-2"/>
                </c:manualLayout>
              </c:layout>
              <c:dLblPos val="r"/>
              <c:showLegendKey val="0"/>
              <c:showVal val="1"/>
              <c:showCatName val="0"/>
              <c:showSerName val="0"/>
              <c:showPercent val="0"/>
              <c:showBubbleSize val="0"/>
            </c:dLbl>
            <c:dLbl>
              <c:idx val="5"/>
              <c:layout>
                <c:manualLayout>
                  <c:x val="-4.4934040107731631E-2"/>
                  <c:y val="-2.7363186249918205E-2"/>
                </c:manualLayout>
              </c:layout>
              <c:dLblPos val="r"/>
              <c:showLegendKey val="0"/>
              <c:showVal val="1"/>
              <c:showCatName val="0"/>
              <c:showSerName val="0"/>
              <c:showPercent val="0"/>
              <c:showBubbleSize val="0"/>
            </c:dLbl>
            <c:dLbl>
              <c:idx val="6"/>
              <c:layout>
                <c:manualLayout>
                  <c:x val="-4.4934040107731631E-2"/>
                  <c:y val="-2.6799281668738777E-2"/>
                </c:manualLayout>
              </c:layout>
              <c:dLblPos val="r"/>
              <c:showLegendKey val="0"/>
              <c:showVal val="1"/>
              <c:showCatName val="0"/>
              <c:showSerName val="0"/>
              <c:showPercent val="0"/>
              <c:showBubbleSize val="0"/>
            </c:dLbl>
            <c:dLbl>
              <c:idx val="7"/>
              <c:layout>
                <c:manualLayout>
                  <c:x val="-4.2733824092205601E-2"/>
                  <c:y val="-3.474967037571007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Sheet1!$A$3:$A$32</c:f>
              <c:numCache>
                <c:formatCode>General</c:formatCode>
                <c:ptCount val="8"/>
                <c:pt idx="0">
                  <c:v>2006</c:v>
                </c:pt>
                <c:pt idx="1">
                  <c:v>2007</c:v>
                </c:pt>
                <c:pt idx="2">
                  <c:v>2008</c:v>
                </c:pt>
                <c:pt idx="3">
                  <c:v>2009</c:v>
                </c:pt>
                <c:pt idx="4">
                  <c:v>2010</c:v>
                </c:pt>
                <c:pt idx="5">
                  <c:v>2011</c:v>
                </c:pt>
                <c:pt idx="6">
                  <c:v>2012</c:v>
                </c:pt>
                <c:pt idx="7">
                  <c:v>2013</c:v>
                </c:pt>
              </c:numCache>
            </c:numRef>
          </c:cat>
          <c:val>
            <c:numRef>
              <c:f>Sheet1!$B$3:$B$32</c:f>
              <c:numCache>
                <c:formatCode>#,##0</c:formatCode>
                <c:ptCount val="8"/>
                <c:pt idx="0">
                  <c:v>35800</c:v>
                </c:pt>
                <c:pt idx="1">
                  <c:v>32900</c:v>
                </c:pt>
                <c:pt idx="2">
                  <c:v>33941</c:v>
                </c:pt>
                <c:pt idx="3">
                  <c:v>33673</c:v>
                </c:pt>
                <c:pt idx="4">
                  <c:v>32077</c:v>
                </c:pt>
                <c:pt idx="5">
                  <c:v>32424</c:v>
                </c:pt>
                <c:pt idx="6">
                  <c:v>32111</c:v>
                </c:pt>
                <c:pt idx="7">
                  <c:v>31256</c:v>
                </c:pt>
              </c:numCache>
            </c:numRef>
          </c:val>
          <c:smooth val="0"/>
        </c:ser>
        <c:ser>
          <c:idx val="1"/>
          <c:order val="1"/>
          <c:tx>
            <c:strRef>
              <c:f>Sheet1!$C$2</c:f>
              <c:strCache>
                <c:ptCount val="1"/>
                <c:pt idx="0">
                  <c:v>Outer Cordon</c:v>
                </c:pt>
              </c:strCache>
            </c:strRef>
          </c:tx>
          <c:dLbls>
            <c:dLbl>
              <c:idx val="4"/>
              <c:layout>
                <c:manualLayout>
                  <c:x val="-5.3734926108109822E-2"/>
                  <c:y val="-6.2918930908284348E-2"/>
                </c:manualLayout>
              </c:layout>
              <c:dLblPos val="r"/>
              <c:showLegendKey val="0"/>
              <c:showVal val="1"/>
              <c:showCatName val="0"/>
              <c:showSerName val="0"/>
              <c:showPercent val="0"/>
              <c:showBubbleSize val="0"/>
            </c:dLbl>
            <c:dLbl>
              <c:idx val="5"/>
              <c:layout>
                <c:manualLayout>
                  <c:x val="-4.8789974063386095E-2"/>
                  <c:y val="-5.3529013098714773E-2"/>
                </c:manualLayout>
              </c:layout>
              <c:dLblPos val="r"/>
              <c:showLegendKey val="0"/>
              <c:showVal val="1"/>
              <c:showCatName val="0"/>
              <c:showSerName val="0"/>
              <c:showPercent val="0"/>
              <c:showBubbleSize val="0"/>
            </c:dLbl>
            <c:dLbl>
              <c:idx val="6"/>
              <c:layout>
                <c:manualLayout>
                  <c:x val="-4.8789974063386095E-2"/>
                  <c:y val="-5.03991226448806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Sheet1!$A$3:$A$32</c:f>
              <c:numCache>
                <c:formatCode>General</c:formatCode>
                <c:ptCount val="8"/>
                <c:pt idx="0">
                  <c:v>2006</c:v>
                </c:pt>
                <c:pt idx="1">
                  <c:v>2007</c:v>
                </c:pt>
                <c:pt idx="2">
                  <c:v>2008</c:v>
                </c:pt>
                <c:pt idx="3">
                  <c:v>2009</c:v>
                </c:pt>
                <c:pt idx="4">
                  <c:v>2010</c:v>
                </c:pt>
                <c:pt idx="5">
                  <c:v>2011</c:v>
                </c:pt>
                <c:pt idx="6">
                  <c:v>2012</c:v>
                </c:pt>
                <c:pt idx="7">
                  <c:v>2013</c:v>
                </c:pt>
              </c:numCache>
            </c:numRef>
          </c:cat>
          <c:val>
            <c:numRef>
              <c:f>Sheet1!$C$3:$C$32</c:f>
              <c:numCache>
                <c:formatCode>#,##0</c:formatCode>
                <c:ptCount val="8"/>
                <c:pt idx="0">
                  <c:v>80400</c:v>
                </c:pt>
                <c:pt idx="1">
                  <c:v>73300</c:v>
                </c:pt>
                <c:pt idx="2">
                  <c:v>72000</c:v>
                </c:pt>
                <c:pt idx="3">
                  <c:v>72100</c:v>
                </c:pt>
                <c:pt idx="4">
                  <c:v>81270</c:v>
                </c:pt>
                <c:pt idx="5" formatCode="General">
                  <c:v>82000</c:v>
                </c:pt>
                <c:pt idx="6" formatCode="General">
                  <c:v>82600</c:v>
                </c:pt>
                <c:pt idx="7" formatCode="General">
                  <c:v>77200</c:v>
                </c:pt>
              </c:numCache>
            </c:numRef>
          </c:val>
          <c:smooth val="0"/>
        </c:ser>
        <c:dLbls>
          <c:dLblPos val="t"/>
          <c:showLegendKey val="0"/>
          <c:showVal val="1"/>
          <c:showCatName val="0"/>
          <c:showSerName val="0"/>
          <c:showPercent val="0"/>
          <c:showBubbleSize val="0"/>
        </c:dLbls>
        <c:marker val="1"/>
        <c:smooth val="0"/>
        <c:axId val="221768320"/>
        <c:axId val="221917952"/>
      </c:lineChart>
      <c:catAx>
        <c:axId val="221768320"/>
        <c:scaling>
          <c:orientation val="minMax"/>
        </c:scaling>
        <c:delete val="0"/>
        <c:axPos val="b"/>
        <c:title>
          <c:tx>
            <c:rich>
              <a:bodyPr/>
              <a:lstStyle/>
              <a:p>
                <a:pPr>
                  <a:defRPr/>
                </a:pPr>
                <a:r>
                  <a:rPr lang="en-GB"/>
                  <a:t>Year</a:t>
                </a:r>
              </a:p>
            </c:rich>
          </c:tx>
          <c:overlay val="0"/>
        </c:title>
        <c:numFmt formatCode="General" sourceLinked="1"/>
        <c:majorTickMark val="out"/>
        <c:minorTickMark val="none"/>
        <c:tickLblPos val="nextTo"/>
        <c:crossAx val="221917952"/>
        <c:crosses val="autoZero"/>
        <c:auto val="1"/>
        <c:lblAlgn val="ctr"/>
        <c:lblOffset val="100"/>
        <c:noMultiLvlLbl val="0"/>
      </c:catAx>
      <c:valAx>
        <c:axId val="221917952"/>
        <c:scaling>
          <c:orientation val="minMax"/>
        </c:scaling>
        <c:delete val="0"/>
        <c:axPos val="l"/>
        <c:majorGridlines/>
        <c:title>
          <c:tx>
            <c:rich>
              <a:bodyPr rot="-5400000" vert="horz"/>
              <a:lstStyle/>
              <a:p>
                <a:pPr>
                  <a:defRPr/>
                </a:pPr>
                <a:r>
                  <a:rPr lang="en-GB"/>
                  <a:t>Average</a:t>
                </a:r>
                <a:r>
                  <a:rPr lang="en-GB" baseline="0"/>
                  <a:t> weekday inbound traffic (7am - 7pm)</a:t>
                </a:r>
                <a:endParaRPr lang="en-GB"/>
              </a:p>
            </c:rich>
          </c:tx>
          <c:layout>
            <c:manualLayout>
              <c:xMode val="edge"/>
              <c:yMode val="edge"/>
              <c:x val="2.4202391367745699E-2"/>
              <c:y val="5.4309042394631413E-2"/>
            </c:manualLayout>
          </c:layout>
          <c:overlay val="0"/>
        </c:title>
        <c:numFmt formatCode="#,##0" sourceLinked="1"/>
        <c:majorTickMark val="out"/>
        <c:minorTickMark val="none"/>
        <c:tickLblPos val="nextTo"/>
        <c:crossAx val="221768320"/>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0.22484</cdr:x>
      <cdr:y>0.05349</cdr:y>
    </cdr:from>
    <cdr:to>
      <cdr:x>0.22956</cdr:x>
      <cdr:y>0.80465</cdr:y>
    </cdr:to>
    <cdr:cxnSp macro="">
      <cdr:nvCxnSpPr>
        <cdr:cNvPr id="3" name="Straight Connector 2"/>
        <cdr:cNvCxnSpPr/>
      </cdr:nvCxnSpPr>
      <cdr:spPr>
        <a:xfrm xmlns:a="http://schemas.openxmlformats.org/drawingml/2006/main">
          <a:off x="1362075" y="219075"/>
          <a:ext cx="28575" cy="3076575"/>
        </a:xfrm>
        <a:prstGeom xmlns:a="http://schemas.openxmlformats.org/drawingml/2006/main" prst="line">
          <a:avLst/>
        </a:prstGeom>
        <a:ln xmlns:a="http://schemas.openxmlformats.org/drawingml/2006/main">
          <a:solidFill>
            <a:schemeClr val="bg1">
              <a:lumMod val="50000"/>
            </a:schemeClr>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0.15172</cdr:x>
      <cdr:y>0.23442</cdr:y>
    </cdr:from>
    <cdr:to>
      <cdr:x>0.97674</cdr:x>
      <cdr:y>0.2364</cdr:y>
    </cdr:to>
    <cdr:cxnSp macro="">
      <cdr:nvCxnSpPr>
        <cdr:cNvPr id="2" name="Straight Connector 1"/>
        <cdr:cNvCxnSpPr/>
      </cdr:nvCxnSpPr>
      <cdr:spPr>
        <a:xfrm xmlns:a="http://schemas.openxmlformats.org/drawingml/2006/main" flipV="1">
          <a:off x="869950" y="752475"/>
          <a:ext cx="4730750" cy="6350"/>
        </a:xfrm>
        <a:prstGeom xmlns:a="http://schemas.openxmlformats.org/drawingml/2006/main" prst="line">
          <a:avLst/>
        </a:prstGeom>
        <a:ln xmlns:a="http://schemas.openxmlformats.org/drawingml/2006/main" w="19050">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BF95-D048-4DEC-8C78-C4D57D95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3AEC15D8.dotm</Template>
  <TotalTime>1</TotalTime>
  <Pages>78</Pages>
  <Words>22273</Words>
  <Characters>126958</Characters>
  <Application>Microsoft Office Word</Application>
  <DocSecurity>4</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rebekah.knight</dc:creator>
  <cp:lastModifiedBy>Sarah.Claridge</cp:lastModifiedBy>
  <cp:revision>2</cp:revision>
  <cp:lastPrinted>2014-10-07T09:34:00Z</cp:lastPrinted>
  <dcterms:created xsi:type="dcterms:W3CDTF">2014-10-09T14:53:00Z</dcterms:created>
  <dcterms:modified xsi:type="dcterms:W3CDTF">2014-10-09T14:53:00Z</dcterms:modified>
</cp:coreProperties>
</file>